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numId w:val="0"/>
        </w:numPr>
        <w:spacing w:before="100" w:beforeLines="0" w:after="120" w:afterLines="0" w:line="360" w:lineRule="auto"/>
        <w:jc w:val="center"/>
        <w:rPr>
          <w:rFonts w:hint="eastAsia" w:ascii="宋体" w:hAnsi="宋体" w:eastAsia="宋体" w:cs="宋体"/>
        </w:rPr>
      </w:pPr>
      <w:bookmarkStart w:id="0" w:name="_Toc30912"/>
      <w:bookmarkStart w:id="1" w:name="_Toc35923717"/>
      <w:bookmarkStart w:id="2" w:name="_Toc85603413"/>
      <w:r>
        <w:rPr>
          <w:rFonts w:hint="eastAsia" w:ascii="宋体" w:hAnsi="宋体" w:eastAsia="宋体" w:cs="宋体"/>
        </w:rPr>
        <w:t>项目采购需求</w:t>
      </w:r>
      <w:bookmarkEnd w:id="0"/>
      <w:bookmarkEnd w:id="1"/>
      <w:bookmarkEnd w:id="2"/>
    </w:p>
    <w:p>
      <w:pPr>
        <w:pStyle w:val="4"/>
        <w:numPr>
          <w:ilvl w:val="0"/>
          <w:numId w:val="1"/>
        </w:numPr>
        <w:spacing w:line="360" w:lineRule="auto"/>
        <w:jc w:val="center"/>
        <w:rPr>
          <w:rFonts w:hint="eastAsia" w:ascii="宋体" w:hAnsi="宋体" w:eastAsia="宋体" w:cs="宋体"/>
          <w:b/>
          <w:bCs/>
          <w:sz w:val="28"/>
          <w:szCs w:val="28"/>
        </w:rPr>
      </w:pPr>
      <w:r>
        <w:rPr>
          <w:rFonts w:hint="eastAsia" w:ascii="宋体" w:hAnsi="宋体" w:eastAsia="宋体" w:cs="宋体"/>
          <w:b/>
          <w:bCs/>
          <w:sz w:val="28"/>
          <w:szCs w:val="28"/>
        </w:rPr>
        <w:t>服务需求</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color w:val="000000"/>
          <w:sz w:val="24"/>
          <w:highlight w:val="none"/>
        </w:rPr>
      </w:pPr>
      <w:r>
        <w:rPr>
          <w:rFonts w:hint="eastAsia" w:ascii="宋体" w:hAnsi="宋体" w:eastAsia="宋体" w:cs="宋体"/>
          <w:sz w:val="24"/>
          <w:highlight w:val="none"/>
        </w:rPr>
        <w:t>根据采购人要求，成交服务商按照要求指派1</w:t>
      </w:r>
      <w:r>
        <w:rPr>
          <w:rFonts w:hint="eastAsia" w:ascii="宋体" w:hAnsi="宋体" w:eastAsia="宋体" w:cs="宋体"/>
          <w:sz w:val="24"/>
          <w:highlight w:val="none"/>
          <w:lang w:val="en-US" w:eastAsia="zh-CN"/>
        </w:rPr>
        <w:t>5</w:t>
      </w:r>
      <w:r>
        <w:rPr>
          <w:rFonts w:hint="eastAsia" w:ascii="宋体" w:hAnsi="宋体" w:eastAsia="宋体" w:cs="宋体"/>
          <w:sz w:val="24"/>
          <w:highlight w:val="none"/>
        </w:rPr>
        <w:t>名保安</w:t>
      </w:r>
      <w:r>
        <w:rPr>
          <w:rFonts w:hint="eastAsia" w:ascii="宋体" w:hAnsi="宋体" w:eastAsia="宋体" w:cs="宋体"/>
          <w:sz w:val="24"/>
          <w:highlight w:val="none"/>
          <w:lang w:val="en-US" w:eastAsia="zh-CN"/>
        </w:rPr>
        <w:t>(其中2名女性)</w:t>
      </w:r>
      <w:r>
        <w:rPr>
          <w:rFonts w:hint="eastAsia" w:ascii="宋体" w:hAnsi="宋体" w:eastAsia="宋体" w:cs="宋体"/>
          <w:sz w:val="24"/>
          <w:highlight w:val="none"/>
        </w:rPr>
        <w:t>到我</w:t>
      </w:r>
      <w:r>
        <w:rPr>
          <w:rFonts w:hint="eastAsia" w:ascii="宋体" w:hAnsi="宋体" w:eastAsia="宋体" w:cs="宋体"/>
          <w:color w:val="000000"/>
          <w:sz w:val="24"/>
          <w:highlight w:val="none"/>
        </w:rPr>
        <w:t>处工作，指派的保安人员岁数</w:t>
      </w:r>
      <w:r>
        <w:rPr>
          <w:rFonts w:hint="eastAsia" w:ascii="宋体" w:hAnsi="宋体" w:eastAsia="宋体" w:cs="宋体"/>
          <w:color w:val="000000"/>
          <w:sz w:val="24"/>
          <w:highlight w:val="none"/>
          <w:lang w:eastAsia="zh-CN"/>
        </w:rPr>
        <w:t>男</w:t>
      </w:r>
      <w:r>
        <w:rPr>
          <w:rFonts w:hint="eastAsia" w:ascii="宋体" w:hAnsi="宋体" w:eastAsia="宋体" w:cs="宋体"/>
          <w:color w:val="000000"/>
          <w:sz w:val="24"/>
          <w:highlight w:val="none"/>
        </w:rPr>
        <w:t>不得超过60周岁</w:t>
      </w:r>
      <w:r>
        <w:rPr>
          <w:rFonts w:hint="eastAsia" w:ascii="宋体" w:hAnsi="宋体" w:eastAsia="宋体" w:cs="宋体"/>
          <w:color w:val="000000"/>
          <w:sz w:val="24"/>
          <w:highlight w:val="none"/>
          <w:lang w:eastAsia="zh-CN"/>
        </w:rPr>
        <w:t>、女</w:t>
      </w:r>
      <w:r>
        <w:rPr>
          <w:rFonts w:hint="eastAsia" w:ascii="宋体" w:hAnsi="宋体" w:eastAsia="宋体" w:cs="宋体"/>
          <w:color w:val="000000"/>
          <w:sz w:val="24"/>
          <w:highlight w:val="none"/>
        </w:rPr>
        <w:t>不得超过</w:t>
      </w:r>
      <w:r>
        <w:rPr>
          <w:rFonts w:hint="eastAsia" w:ascii="宋体" w:hAnsi="宋体" w:eastAsia="宋体" w:cs="宋体"/>
          <w:color w:val="000000"/>
          <w:sz w:val="24"/>
          <w:highlight w:val="none"/>
          <w:lang w:val="en-US" w:eastAsia="zh-CN"/>
        </w:rPr>
        <w:t>40</w:t>
      </w:r>
      <w:r>
        <w:rPr>
          <w:rFonts w:hint="eastAsia" w:ascii="宋体" w:hAnsi="宋体" w:eastAsia="宋体" w:cs="宋体"/>
          <w:color w:val="000000"/>
          <w:sz w:val="24"/>
          <w:highlight w:val="none"/>
        </w:rPr>
        <w:t>周岁</w:t>
      </w:r>
      <w:r>
        <w:rPr>
          <w:rFonts w:hint="eastAsia" w:ascii="宋体" w:hAnsi="宋体" w:eastAsia="宋体" w:cs="宋体"/>
          <w:color w:val="000000"/>
          <w:sz w:val="24"/>
          <w:highlight w:val="none"/>
          <w:lang w:val="en-US" w:eastAsia="zh-CN"/>
        </w:rPr>
        <w:t>(具有一定的电脑操作水平)</w:t>
      </w:r>
      <w:r>
        <w:rPr>
          <w:rFonts w:hint="eastAsia" w:ascii="宋体" w:hAnsi="宋体" w:eastAsia="宋体" w:cs="宋体"/>
          <w:color w:val="000000"/>
          <w:sz w:val="24"/>
          <w:highlight w:val="none"/>
        </w:rPr>
        <w:t>，经采购人审核备案，身体健康、作风正派、遵纪守法、品德良好，具有一定保安技能的保安队员进驻采购人，为其提供下列保安服务：</w:t>
      </w:r>
    </w:p>
    <w:p>
      <w:pPr>
        <w:keepNext w:val="0"/>
        <w:keepLines w:val="0"/>
        <w:pageBreakBefore w:val="0"/>
        <w:widowControl w:val="0"/>
        <w:numPr>
          <w:ilvl w:val="0"/>
          <w:numId w:val="2"/>
        </w:numPr>
        <w:kinsoku/>
        <w:wordWrap/>
        <w:overflowPunct/>
        <w:topLinePunct w:val="0"/>
        <w:autoSpaceDE/>
        <w:autoSpaceDN/>
        <w:bidi w:val="0"/>
        <w:snapToGrid/>
        <w:spacing w:line="420" w:lineRule="exact"/>
        <w:ind w:left="0"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成交服务商指派所有保安人员一切听从南昌市抚河公园管理处管理和指挥。</w:t>
      </w:r>
    </w:p>
    <w:p>
      <w:pPr>
        <w:keepNext w:val="0"/>
        <w:keepLines w:val="0"/>
        <w:pageBreakBefore w:val="0"/>
        <w:widowControl w:val="0"/>
        <w:numPr>
          <w:ilvl w:val="0"/>
          <w:numId w:val="2"/>
        </w:numPr>
        <w:kinsoku/>
        <w:wordWrap/>
        <w:overflowPunct/>
        <w:topLinePunct w:val="0"/>
        <w:autoSpaceDE/>
        <w:autoSpaceDN/>
        <w:bidi w:val="0"/>
        <w:snapToGrid/>
        <w:spacing w:line="420" w:lineRule="exact"/>
        <w:ind w:left="0"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及时发现，制止擅自占用绿地和破坏绿地，损坏设施等违法</w:t>
      </w:r>
      <w:r>
        <w:rPr>
          <w:rFonts w:hint="eastAsia" w:ascii="宋体" w:hAnsi="宋体" w:eastAsia="宋体" w:cs="宋体"/>
          <w:sz w:val="28"/>
          <w:szCs w:val="28"/>
        </w:rPr>
        <w:t>行为</w:t>
      </w:r>
      <w:r>
        <w:rPr>
          <w:rFonts w:hint="eastAsia" w:ascii="宋体" w:hAnsi="宋体" w:eastAsia="宋体" w:cs="宋体"/>
          <w:sz w:val="24"/>
          <w:highlight w:val="none"/>
        </w:rPr>
        <w:t>；</w:t>
      </w:r>
    </w:p>
    <w:p>
      <w:pPr>
        <w:keepNext w:val="0"/>
        <w:keepLines w:val="0"/>
        <w:pageBreakBefore w:val="0"/>
        <w:widowControl w:val="0"/>
        <w:numPr>
          <w:ilvl w:val="0"/>
          <w:numId w:val="2"/>
        </w:numPr>
        <w:kinsoku/>
        <w:wordWrap/>
        <w:overflowPunct/>
        <w:topLinePunct w:val="0"/>
        <w:autoSpaceDE/>
        <w:autoSpaceDN/>
        <w:bidi w:val="0"/>
        <w:snapToGrid/>
        <w:spacing w:line="420" w:lineRule="exact"/>
        <w:ind w:left="0"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制止在园区内摆摊设点，乱吊乱挂，无证经营等；</w:t>
      </w:r>
    </w:p>
    <w:p>
      <w:pPr>
        <w:keepNext w:val="0"/>
        <w:keepLines w:val="0"/>
        <w:pageBreakBefore w:val="0"/>
        <w:widowControl w:val="0"/>
        <w:numPr>
          <w:ilvl w:val="0"/>
          <w:numId w:val="2"/>
        </w:numPr>
        <w:kinsoku/>
        <w:wordWrap/>
        <w:overflowPunct/>
        <w:topLinePunct w:val="0"/>
        <w:autoSpaceDE/>
        <w:autoSpaceDN/>
        <w:bidi w:val="0"/>
        <w:snapToGrid/>
        <w:spacing w:line="420" w:lineRule="exact"/>
        <w:ind w:left="0"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加强与执法局、街办、派出所的沟通，建立经常性的沟通机制；</w:t>
      </w:r>
    </w:p>
    <w:p>
      <w:pPr>
        <w:keepNext w:val="0"/>
        <w:keepLines w:val="0"/>
        <w:pageBreakBefore w:val="0"/>
        <w:widowControl w:val="0"/>
        <w:numPr>
          <w:ilvl w:val="0"/>
          <w:numId w:val="2"/>
        </w:numPr>
        <w:kinsoku/>
        <w:wordWrap/>
        <w:overflowPunct/>
        <w:topLinePunct w:val="0"/>
        <w:autoSpaceDE/>
        <w:autoSpaceDN/>
        <w:bidi w:val="0"/>
        <w:snapToGrid/>
        <w:spacing w:line="420" w:lineRule="exact"/>
        <w:ind w:left="0"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清除抚河园区内盲流人员等，制止打架斗殴，防火，防盗，及时处理园区内突发事件，预防各类犯罪行为发生，遇重大情况及时向我处管理部门汇报；</w:t>
      </w:r>
    </w:p>
    <w:p>
      <w:pPr>
        <w:keepNext w:val="0"/>
        <w:keepLines w:val="0"/>
        <w:pageBreakBefore w:val="0"/>
        <w:widowControl w:val="0"/>
        <w:numPr>
          <w:ilvl w:val="0"/>
          <w:numId w:val="2"/>
        </w:numPr>
        <w:kinsoku/>
        <w:wordWrap/>
        <w:overflowPunct/>
        <w:topLinePunct w:val="0"/>
        <w:autoSpaceDE/>
        <w:autoSpaceDN/>
        <w:bidi w:val="0"/>
        <w:snapToGrid/>
        <w:spacing w:line="420" w:lineRule="exact"/>
        <w:ind w:left="0"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我处对保安人员实行集中管理制，每日上班时间为上午5:00-11：00 、下午11:00-17:00、晚班17:00-23:00，上午、晚班各不得少于3人 ；下午不得少于5人。每天分别到指定点签到；按规定时间内上、下班、擅自脱离岗位，如违反规定，按照我处保安管理制度及保安公司进行处罚。</w:t>
      </w:r>
    </w:p>
    <w:p>
      <w:pPr>
        <w:keepNext w:val="0"/>
        <w:keepLines w:val="0"/>
        <w:pageBreakBefore w:val="0"/>
        <w:widowControl w:val="0"/>
        <w:numPr>
          <w:ilvl w:val="0"/>
          <w:numId w:val="2"/>
        </w:numPr>
        <w:kinsoku/>
        <w:wordWrap/>
        <w:overflowPunct/>
        <w:topLinePunct w:val="0"/>
        <w:autoSpaceDE/>
        <w:autoSpaceDN/>
        <w:bidi w:val="0"/>
        <w:snapToGrid/>
        <w:spacing w:line="420" w:lineRule="exact"/>
        <w:ind w:left="0"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公休日、法定节假日、特殊情况夜班等保安人员不属于加班，实行轮休和补休。</w:t>
      </w:r>
    </w:p>
    <w:p>
      <w:pPr>
        <w:keepNext w:val="0"/>
        <w:keepLines w:val="0"/>
        <w:pageBreakBefore w:val="0"/>
        <w:widowControl w:val="0"/>
        <w:numPr>
          <w:ilvl w:val="0"/>
          <w:numId w:val="2"/>
        </w:numPr>
        <w:kinsoku/>
        <w:wordWrap/>
        <w:overflowPunct/>
        <w:topLinePunct w:val="0"/>
        <w:autoSpaceDE/>
        <w:autoSpaceDN/>
        <w:bidi w:val="0"/>
        <w:snapToGrid/>
        <w:spacing w:line="420" w:lineRule="exact"/>
        <w:ind w:left="0"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保安</w:t>
      </w:r>
      <w:r>
        <w:rPr>
          <w:rFonts w:hint="eastAsia" w:ascii="宋体" w:hAnsi="宋体" w:eastAsia="宋体" w:cs="宋体"/>
          <w:color w:val="000000"/>
          <w:sz w:val="24"/>
          <w:highlight w:val="none"/>
        </w:rPr>
        <w:t>公司必须按照国家规定，为1</w:t>
      </w:r>
      <w:r>
        <w:rPr>
          <w:rFonts w:hint="eastAsia" w:ascii="宋体" w:hAnsi="宋体" w:eastAsia="宋体" w:cs="宋体"/>
          <w:color w:val="000000"/>
          <w:sz w:val="24"/>
          <w:highlight w:val="none"/>
          <w:lang w:val="en-US" w:eastAsia="zh-CN"/>
        </w:rPr>
        <w:t>5</w:t>
      </w:r>
      <w:r>
        <w:rPr>
          <w:rFonts w:hint="eastAsia" w:ascii="宋体" w:hAnsi="宋体" w:eastAsia="宋体" w:cs="宋体"/>
          <w:color w:val="000000"/>
          <w:sz w:val="24"/>
          <w:highlight w:val="none"/>
        </w:rPr>
        <w:t>名保安人员购买各类社会保险，并每月向抚河公园管理处出具由社保部门开具的清单证明。否则，抚河公园管理处有权按单位应缴纳社会保险金额扣除服务费。</w:t>
      </w:r>
    </w:p>
    <w:p>
      <w:pPr>
        <w:keepNext w:val="0"/>
        <w:keepLines w:val="0"/>
        <w:pageBreakBefore w:val="0"/>
        <w:widowControl w:val="0"/>
        <w:kinsoku/>
        <w:wordWrap/>
        <w:overflowPunct/>
        <w:topLinePunct w:val="0"/>
        <w:autoSpaceDE/>
        <w:autoSpaceDN/>
        <w:bidi w:val="0"/>
        <w:snapToGrid/>
        <w:spacing w:line="420" w:lineRule="exact"/>
        <w:ind w:firstLine="200"/>
        <w:jc w:val="left"/>
        <w:textAlignment w:val="auto"/>
        <w:outlineLvl w:val="0"/>
        <w:rPr>
          <w:rFonts w:hint="eastAsia" w:ascii="宋体" w:hAnsi="宋体" w:eastAsia="宋体" w:cs="宋体"/>
          <w:sz w:val="24"/>
          <w:highlight w:val="none"/>
        </w:rPr>
      </w:pPr>
      <w:r>
        <w:rPr>
          <w:rFonts w:hint="eastAsia" w:ascii="宋体" w:hAnsi="宋体" w:eastAsia="宋体" w:cs="宋体"/>
          <w:b/>
          <w:bCs/>
          <w:sz w:val="24"/>
          <w:highlight w:val="none"/>
        </w:rPr>
        <w:t xml:space="preserve">  </w:t>
      </w:r>
      <w:r>
        <w:rPr>
          <w:rFonts w:hint="eastAsia" w:ascii="宋体" w:hAnsi="宋体" w:eastAsia="宋体" w:cs="宋体"/>
          <w:sz w:val="24"/>
          <w:highlight w:val="none"/>
        </w:rPr>
        <w:t>成交服务商派驻采购人的保安队员应做到文明执勤、热情服务、礼貌待人，遵守采购人有关规章制度，认真履行岗位职责。</w:t>
      </w:r>
    </w:p>
    <w:p>
      <w:pPr>
        <w:keepNext w:val="0"/>
        <w:keepLines w:val="0"/>
        <w:pageBreakBefore w:val="0"/>
        <w:widowControl w:val="0"/>
        <w:kinsoku/>
        <w:wordWrap/>
        <w:overflowPunct/>
        <w:topLinePunct w:val="0"/>
        <w:autoSpaceDE/>
        <w:autoSpaceDN/>
        <w:bidi w:val="0"/>
        <w:snapToGrid/>
        <w:spacing w:line="420" w:lineRule="exact"/>
        <w:ind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成交服务商派驻的保安队员行政上仍隶属成交服务商，接受成交服务商领导。进驻的保安队员同时应接受采购人的检查和监督，并遵守采购人的有关章程制度。成交服务商应加强对派驻保安队员的管理、督查和培训，积极协助采购人协调处理与保安工作相关的事项。定期与采购人交流情况，征求意见，整改不足。</w:t>
      </w:r>
    </w:p>
    <w:p>
      <w:pPr>
        <w:keepNext w:val="0"/>
        <w:keepLines w:val="0"/>
        <w:pageBreakBefore w:val="0"/>
        <w:widowControl w:val="0"/>
        <w:kinsoku/>
        <w:wordWrap/>
        <w:overflowPunct/>
        <w:topLinePunct w:val="0"/>
        <w:autoSpaceDE/>
        <w:autoSpaceDN/>
        <w:bidi w:val="0"/>
        <w:snapToGrid/>
        <w:spacing w:line="420" w:lineRule="exact"/>
        <w:ind w:firstLine="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成交服务商应保证派驻人员的相对稳定，除特殊情况外不得随意调换人员。对不适合继续留在采购人工作的保安人员应及时调换。成交服务商必须按相关规定规范用工，确保采购人合法权益。</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b/>
          <w:bCs/>
          <w:sz w:val="24"/>
          <w:highlight w:val="none"/>
        </w:rPr>
      </w:pPr>
      <w:r>
        <w:rPr>
          <w:rFonts w:hint="eastAsia" w:ascii="宋体" w:hAnsi="宋体" w:eastAsia="宋体" w:cs="宋体"/>
          <w:b/>
          <w:bCs/>
          <w:sz w:val="24"/>
          <w:highlight w:val="none"/>
        </w:rPr>
        <w:t>（三）人员管理</w:t>
      </w:r>
    </w:p>
    <w:p>
      <w:pPr>
        <w:keepNext w:val="0"/>
        <w:keepLines w:val="0"/>
        <w:pageBreakBefore w:val="0"/>
        <w:widowControl w:val="0"/>
        <w:kinsoku/>
        <w:wordWrap/>
        <w:overflowPunct/>
        <w:topLinePunct w:val="0"/>
        <w:autoSpaceDE/>
        <w:autoSpaceDN/>
        <w:bidi w:val="0"/>
        <w:snapToGrid/>
        <w:spacing w:line="420" w:lineRule="exact"/>
        <w:ind w:firstLine="481"/>
        <w:jc w:val="left"/>
        <w:textAlignment w:val="auto"/>
        <w:outlineLvl w:val="0"/>
        <w:rPr>
          <w:rFonts w:hint="eastAsia" w:ascii="宋体" w:hAnsi="宋体" w:eastAsia="宋体" w:cs="宋体"/>
          <w:color w:val="000000"/>
          <w:sz w:val="24"/>
          <w:highlight w:val="none"/>
        </w:rPr>
      </w:pPr>
      <w:r>
        <w:rPr>
          <w:rFonts w:hint="eastAsia" w:ascii="宋体" w:hAnsi="宋体" w:eastAsia="宋体" w:cs="宋体"/>
          <w:color w:val="000000"/>
          <w:sz w:val="24"/>
          <w:highlight w:val="none"/>
        </w:rPr>
        <w:t>保安员须有相关公安机关出具的无违法犯罪记录证明与县级以上医疗机关出具的身体健康体检报告，退伍军人或相关工作经验者优先；</w:t>
      </w:r>
      <w:r>
        <w:rPr>
          <w:rFonts w:hint="eastAsia" w:ascii="宋体" w:hAnsi="宋体" w:eastAsia="宋体" w:cs="宋体"/>
          <w:color w:val="000000"/>
          <w:sz w:val="24"/>
          <w:highlight w:val="none"/>
          <w:lang w:eastAsia="zh-CN"/>
        </w:rPr>
        <w:t>男</w:t>
      </w:r>
      <w:r>
        <w:rPr>
          <w:rFonts w:hint="eastAsia" w:ascii="宋体" w:hAnsi="宋体" w:eastAsia="宋体" w:cs="宋体"/>
          <w:color w:val="000000"/>
          <w:sz w:val="24"/>
          <w:highlight w:val="none"/>
        </w:rPr>
        <w:t>超过60周岁</w:t>
      </w:r>
      <w:r>
        <w:rPr>
          <w:rFonts w:hint="eastAsia" w:ascii="宋体" w:hAnsi="宋体" w:eastAsia="宋体" w:cs="宋体"/>
          <w:color w:val="000000"/>
          <w:sz w:val="24"/>
          <w:highlight w:val="none"/>
          <w:lang w:eastAsia="zh-CN"/>
        </w:rPr>
        <w:t>、女</w:t>
      </w:r>
      <w:r>
        <w:rPr>
          <w:rFonts w:hint="eastAsia" w:ascii="宋体" w:hAnsi="宋体" w:eastAsia="宋体" w:cs="宋体"/>
          <w:color w:val="000000"/>
          <w:sz w:val="24"/>
          <w:highlight w:val="none"/>
        </w:rPr>
        <w:t>超过</w:t>
      </w:r>
      <w:r>
        <w:rPr>
          <w:rFonts w:hint="eastAsia" w:ascii="宋体" w:hAnsi="宋体" w:eastAsia="宋体" w:cs="宋体"/>
          <w:color w:val="000000"/>
          <w:sz w:val="24"/>
          <w:highlight w:val="none"/>
          <w:lang w:val="en-US" w:eastAsia="zh-CN"/>
        </w:rPr>
        <w:t>40</w:t>
      </w:r>
      <w:r>
        <w:rPr>
          <w:rFonts w:hint="eastAsia" w:ascii="宋体" w:hAnsi="宋体" w:eastAsia="宋体" w:cs="宋体"/>
          <w:color w:val="000000"/>
          <w:sz w:val="24"/>
          <w:highlight w:val="none"/>
        </w:rPr>
        <w:t>周岁的不予派驻，确保培训合格人员上岗，并严格执行每月岗前培训一次。</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b/>
          <w:bCs/>
          <w:sz w:val="24"/>
          <w:highlight w:val="none"/>
        </w:rPr>
      </w:pPr>
      <w:r>
        <w:rPr>
          <w:rFonts w:hint="eastAsia" w:ascii="宋体" w:hAnsi="宋体" w:eastAsia="宋体" w:cs="宋体"/>
          <w:b/>
          <w:bCs/>
          <w:sz w:val="24"/>
          <w:highlight w:val="none"/>
        </w:rPr>
        <w:t>（四）岗位管理</w:t>
      </w:r>
    </w:p>
    <w:p>
      <w:pPr>
        <w:keepNext w:val="0"/>
        <w:keepLines w:val="0"/>
        <w:pageBreakBefore w:val="0"/>
        <w:widowControl w:val="0"/>
        <w:numPr>
          <w:ilvl w:val="0"/>
          <w:numId w:val="3"/>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熟悉园区的治安岗位职责、任务、工作要求，掌握保安工作规律及特点，加强重点岗位的安全防范；</w:t>
      </w:r>
    </w:p>
    <w:p>
      <w:pPr>
        <w:keepNext w:val="0"/>
        <w:keepLines w:val="0"/>
        <w:pageBreakBefore w:val="0"/>
        <w:widowControl w:val="0"/>
        <w:numPr>
          <w:ilvl w:val="0"/>
          <w:numId w:val="3"/>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服从领导，听从指挥，做到令行禁止、遇事汇报；</w:t>
      </w:r>
    </w:p>
    <w:p>
      <w:pPr>
        <w:keepNext w:val="0"/>
        <w:keepLines w:val="0"/>
        <w:pageBreakBefore w:val="0"/>
        <w:widowControl w:val="0"/>
        <w:numPr>
          <w:ilvl w:val="0"/>
          <w:numId w:val="3"/>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遵守国家的法令、法规，做到依法办事；</w:t>
      </w:r>
    </w:p>
    <w:p>
      <w:pPr>
        <w:keepNext w:val="0"/>
        <w:keepLines w:val="0"/>
        <w:pageBreakBefore w:val="0"/>
        <w:widowControl w:val="0"/>
        <w:numPr>
          <w:ilvl w:val="0"/>
          <w:numId w:val="3"/>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熟悉本岗位的职责和工作程序，圆满完成工作任务；</w:t>
      </w:r>
    </w:p>
    <w:p>
      <w:pPr>
        <w:keepNext w:val="0"/>
        <w:keepLines w:val="0"/>
        <w:pageBreakBefore w:val="0"/>
        <w:widowControl w:val="0"/>
        <w:numPr>
          <w:ilvl w:val="0"/>
          <w:numId w:val="3"/>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坚守岗位保持高度警惕，预防治安事件的发生；</w:t>
      </w:r>
    </w:p>
    <w:p>
      <w:pPr>
        <w:keepNext w:val="0"/>
        <w:keepLines w:val="0"/>
        <w:pageBreakBefore w:val="0"/>
        <w:widowControl w:val="0"/>
        <w:numPr>
          <w:ilvl w:val="0"/>
          <w:numId w:val="3"/>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禁止下列行为：</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乱丢果皮、纸屑、烟头等废弃物及随地吐痰、便溺等；</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制造超标噪声，影响他人工作、休闲；</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采摘花果，损坏树木，宿营、烧烤，焚烧荒草、枯枝、落叶；</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擅自驾（骑）车辆进入；</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在非指定区域内垂钓、游泳、滑冰、踢球等；</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损坏游乐、娱乐、康乐设施，攀爬、损坏园林建筑、雕塑、围栏、防护网，移动座椅、保洁设施；</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携带限养犬只以及其他有碍人身安全、公共秩序、环境卫生的宠物；</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擅自散发广告宣传品或者在树木、建（构）筑物等各类设施上喷涂、悬挂张贴广告宣传品；</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酗酒赌博，打架斗殴，从事占卜算命等迷信活动；</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擅自砍伐、移植植物；</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园区范围内践踏草地、倾倒垃圾等；</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向园区、广场排放烟尘、污水、有害气体，倾倒废弃物；</w:t>
      </w:r>
    </w:p>
    <w:p>
      <w:pPr>
        <w:keepNext w:val="0"/>
        <w:keepLines w:val="0"/>
        <w:pageBreakBefore w:val="0"/>
        <w:widowControl w:val="0"/>
        <w:numPr>
          <w:ilvl w:val="0"/>
          <w:numId w:val="4"/>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擅自携带易燃易爆以其他危险物品；</w:t>
      </w:r>
    </w:p>
    <w:p>
      <w:pPr>
        <w:keepNext w:val="0"/>
        <w:keepLines w:val="0"/>
        <w:pageBreakBefore w:val="0"/>
        <w:widowControl w:val="0"/>
        <w:numPr>
          <w:ilvl w:val="0"/>
          <w:numId w:val="3"/>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不得在园区内介绍或从事任何商业活动，不得接受游客的赠与；</w:t>
      </w:r>
    </w:p>
    <w:p>
      <w:pPr>
        <w:keepNext w:val="0"/>
        <w:keepLines w:val="0"/>
        <w:pageBreakBefore w:val="0"/>
        <w:widowControl w:val="0"/>
        <w:numPr>
          <w:ilvl w:val="0"/>
          <w:numId w:val="3"/>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积极配合卫生、绿化、维修等其他服务，制止违章行为，防止破坏，不能制止的问题及时向上级反馈；同时加强园内共享单车的管理。</w:t>
      </w:r>
    </w:p>
    <w:p>
      <w:pPr>
        <w:keepNext w:val="0"/>
        <w:keepLines w:val="0"/>
        <w:pageBreakBefore w:val="0"/>
        <w:widowControl w:val="0"/>
        <w:numPr>
          <w:ilvl w:val="0"/>
          <w:numId w:val="3"/>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尊老爱幼，乐于助人，拾金不昧，设立社会主义精神文明新风尚；</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10.注意观察园区来往人员的情况及其携带的物品，发现可疑人员要选择适当的位置加以监视并及时报告；</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11.要按点、按时、按线路认真仔细巡逻，加强治安工作，并严格执行交接班制度；</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12.保护好园区的资源及服务设施，牢记安全规章制度，掌握各项安全知识，熟练操作各类消防器材和安全器械；</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13.保安员要着装统一，举止大方，文明礼貌，并严格执行交接班制度；</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14.按时交接班，接班保安员应提前到达岗位，如接班人未到，当班人员不得离开岗位；</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15.接班时要详细了解上一班的执勤情况和当班应注意的事项；</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16.向下班移交值班记录本，交接人员应在值班记录本上签字；</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17.接班人员应将上一班交下的值班装备差点清楚，并在值班记录本上注明交接情况。</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w:t>
      </w:r>
      <w:r>
        <w:rPr>
          <w:rFonts w:hint="eastAsia" w:ascii="宋体" w:hAnsi="宋体" w:eastAsia="宋体" w:cs="宋体"/>
          <w:b/>
          <w:bCs/>
          <w:sz w:val="24"/>
          <w:highlight w:val="none"/>
        </w:rPr>
        <w:t xml:space="preserve"> （五）制度管理</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color w:val="000000"/>
          <w:sz w:val="24"/>
          <w:highlight w:val="none"/>
        </w:rPr>
      </w:pPr>
      <w:r>
        <w:rPr>
          <w:rFonts w:hint="eastAsia" w:ascii="宋体" w:hAnsi="宋体" w:eastAsia="宋体" w:cs="宋体"/>
          <w:color w:val="000000"/>
          <w:sz w:val="24"/>
          <w:highlight w:val="none"/>
        </w:rPr>
        <w:t>1.采购人根据本单位的考核管理制度（详见附件一和附件二）对成交服务商派驻人员的各项工作等进行考核管理。</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2.保安队长岗位职责</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1）负责保安部的全面工作；</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2）对园区治安、安全保卫工作负有全权的责任以及负责对园区治安安全保卫工作进行督导、检查和落实；</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3）认真贯彻安全方针政策、法律法规，组织园区保安人员学习安全知识，努力增强全体保安人员的安全意识；</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4）制定、完善保安部的规章制度，督促景区加强安全管理、落实安全责任制；</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5）定期主持召开安全工作会，总结分析当前安全形势，及时向园区领导报告安全情况，为领导决策提供依据；</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6）负责保安部日常工作以及检查保安员履行岗位职责情况，制定工作计划，筹备安全会议，安排阶段性工作任务；</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7）亲自策划重大节日、重要接待任务的安全保卫工作，届时一定要在园区内值班，进行监督；</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8）积极配合公安部门调查和侦破园区内发生的各类案件；</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9）了解和掌握园区内各部门职工的情况，与公司一起做好各部门职工法制宣传教育工作；</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10）注意防止因自然灾害而造成园区和游客、职工的生命财产损失；</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11）注意积累园区治安工作资料；</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12）定期检查园区内消防设施、消防器材是否正常、灵敏，对发现的重大安全隐患要及时上报南昌市抚河公园管理处主管领导并督促整改；</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13）园区发生伤亡事故时，要尽快赶赴现场，积极参加抢救和做好上报及善后工作；</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14）完成园区领导交办的其它工作；</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3.保安员岗位职责</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1)服从领导，听从指挥，做到令行禁止，遇事要报告；</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2）模范遵守国家法律、法规，做到依法办事；</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3）熟悉本岗位职责和工作程序，圆满完成工作任务；</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4）坚守岗位，保持高度的警惕，注意发现可疑的人、事、物，预防治安案件的发生；</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5）积极配合卫生、绿化、维修等其他服务，制止违章行为，防止破坏，不能制止解决的要及时向班长报告；</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6）熟悉和爱护保护园区内的公共设施、机电设备、消防器材，并熟练掌握各种灭火器材的使用方法；</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7）廉洁奉公，坚持原则，是非分明，敢于同违法犯罪行为作斗争；</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8）积极协助公安机关开展各项治安防范活动或行动，努力完成各项治安服务工作；</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9）密切联系群众，积极向南昌市抚河公园管理处进行治安规范和管理方面的宣传；</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10）认真完成园区内领导交给的其他任务。</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4.保安员的权限规定</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根据公安部保安管理规定，保安员在执勤过程中应掌握好法律尺度，正确行使自身权利，切记如下事项：</w:t>
      </w:r>
    </w:p>
    <w:p>
      <w:pPr>
        <w:keepNext w:val="0"/>
        <w:keepLines w:val="0"/>
        <w:pageBreakBefore w:val="0"/>
        <w:widowControl w:val="0"/>
        <w:numPr>
          <w:ilvl w:val="0"/>
          <w:numId w:val="5"/>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在执行任务时，对杀人、放火、抢劫、偷盗、盗窃、强奸等违法犯罪分子有权抓获并扭送公安机关，但无权实施拘留、关押、审讯、没收财产及罚款；</w:t>
      </w:r>
    </w:p>
    <w:p>
      <w:pPr>
        <w:keepNext w:val="0"/>
        <w:keepLines w:val="0"/>
        <w:pageBreakBefore w:val="0"/>
        <w:widowControl w:val="0"/>
        <w:numPr>
          <w:ilvl w:val="0"/>
          <w:numId w:val="5"/>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对发生在服务区内的刑事案件或治安案件有权保护现场，保护证据，维护秩序，以及提供情况，但无勘察现场的权力；</w:t>
      </w:r>
    </w:p>
    <w:p>
      <w:pPr>
        <w:keepNext w:val="0"/>
        <w:keepLines w:val="0"/>
        <w:pageBreakBefore w:val="0"/>
        <w:widowControl w:val="0"/>
        <w:numPr>
          <w:ilvl w:val="0"/>
          <w:numId w:val="5"/>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按规定制止未经许可的车辆入内，如遇不法分子不服制止，甚至行凶报复，可采取正当防卫，但注意不要防卫过当；</w:t>
      </w:r>
    </w:p>
    <w:p>
      <w:pPr>
        <w:keepNext w:val="0"/>
        <w:keepLines w:val="0"/>
        <w:pageBreakBefore w:val="0"/>
        <w:widowControl w:val="0"/>
        <w:numPr>
          <w:ilvl w:val="0"/>
          <w:numId w:val="5"/>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对违法治安管理条例行为的人有权劝阻、制止和批评教育或扭送派出所，但没有处罚的权力；</w:t>
      </w:r>
    </w:p>
    <w:p>
      <w:pPr>
        <w:keepNext w:val="0"/>
        <w:keepLines w:val="0"/>
        <w:pageBreakBefore w:val="0"/>
        <w:widowControl w:val="0"/>
        <w:numPr>
          <w:ilvl w:val="0"/>
          <w:numId w:val="5"/>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对有违法犯罪行为的嫌疑分子可以进行监视、检举、报告当地公安机关处理，但无侦查、扣押、搜查的权力；</w:t>
      </w:r>
    </w:p>
    <w:p>
      <w:pPr>
        <w:keepNext w:val="0"/>
        <w:keepLines w:val="0"/>
        <w:pageBreakBefore w:val="0"/>
        <w:widowControl w:val="0"/>
        <w:numPr>
          <w:ilvl w:val="0"/>
          <w:numId w:val="5"/>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对有违法犯罪行为有权予以制止，但无处罚、裁决的权力；</w:t>
      </w:r>
    </w:p>
    <w:p>
      <w:pPr>
        <w:keepNext w:val="0"/>
        <w:keepLines w:val="0"/>
        <w:pageBreakBefore w:val="0"/>
        <w:widowControl w:val="0"/>
        <w:numPr>
          <w:ilvl w:val="0"/>
          <w:numId w:val="5"/>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宣传法制，协助客户做好安全防范工作，落实各项安全防范措施，发现不安全因素要协助园区及时整改；</w:t>
      </w:r>
    </w:p>
    <w:p>
      <w:pPr>
        <w:keepNext w:val="0"/>
        <w:keepLines w:val="0"/>
        <w:pageBreakBefore w:val="0"/>
        <w:widowControl w:val="0"/>
        <w:numPr>
          <w:ilvl w:val="0"/>
          <w:numId w:val="5"/>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定期进行安全防范检查。</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5.保安员纪律</w:t>
      </w:r>
    </w:p>
    <w:p>
      <w:pPr>
        <w:keepNext w:val="0"/>
        <w:keepLines w:val="0"/>
        <w:pageBreakBefore w:val="0"/>
        <w:widowControl w:val="0"/>
        <w:numPr>
          <w:ilvl w:val="0"/>
          <w:numId w:val="6"/>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服从命令、听从指挥、服从分配、安心工作；</w:t>
      </w:r>
    </w:p>
    <w:p>
      <w:pPr>
        <w:keepNext w:val="0"/>
        <w:keepLines w:val="0"/>
        <w:pageBreakBefore w:val="0"/>
        <w:widowControl w:val="0"/>
        <w:numPr>
          <w:ilvl w:val="0"/>
          <w:numId w:val="6"/>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积极参加军事训练，努力学习保安业务知识，不断提高业务素质和技能；</w:t>
      </w:r>
    </w:p>
    <w:p>
      <w:pPr>
        <w:keepNext w:val="0"/>
        <w:keepLines w:val="0"/>
        <w:pageBreakBefore w:val="0"/>
        <w:widowControl w:val="0"/>
        <w:numPr>
          <w:ilvl w:val="0"/>
          <w:numId w:val="6"/>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坚守岗位，恪尽职守。在值班时，不准误岗、脱岗；不准在值班中打盹、睡觉；不准在值班岗位上吸烟、看书、看报、嬉戏打闹；不准在值班岗上会客；不准喝酒；</w:t>
      </w:r>
    </w:p>
    <w:p>
      <w:pPr>
        <w:keepNext w:val="0"/>
        <w:keepLines w:val="0"/>
        <w:pageBreakBefore w:val="0"/>
        <w:widowControl w:val="0"/>
        <w:numPr>
          <w:ilvl w:val="0"/>
          <w:numId w:val="6"/>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秉公执法，严禁偷摸吃拿卡要，严禁赌博和变相赌博，严禁传看淫秽书刊、杂志，不准打架斗殴，不准毁坏公共财产；</w:t>
      </w:r>
    </w:p>
    <w:p>
      <w:pPr>
        <w:keepNext w:val="0"/>
        <w:keepLines w:val="0"/>
        <w:pageBreakBefore w:val="0"/>
        <w:widowControl w:val="0"/>
        <w:numPr>
          <w:ilvl w:val="0"/>
          <w:numId w:val="6"/>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值班时要着制服，不准保安服和便服混穿、着装时要保持服装整洁，举止端庄，要保持良好的队容风貌；</w:t>
      </w:r>
    </w:p>
    <w:p>
      <w:pPr>
        <w:keepNext w:val="0"/>
        <w:keepLines w:val="0"/>
        <w:pageBreakBefore w:val="0"/>
        <w:widowControl w:val="0"/>
        <w:numPr>
          <w:ilvl w:val="0"/>
          <w:numId w:val="6"/>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定期向各级领导汇报工作，在工作中发现重大隐患、突出问题应及时反映上报，不准延误；</w:t>
      </w:r>
    </w:p>
    <w:p>
      <w:pPr>
        <w:keepNext w:val="0"/>
        <w:keepLines w:val="0"/>
        <w:pageBreakBefore w:val="0"/>
        <w:widowControl w:val="0"/>
        <w:numPr>
          <w:ilvl w:val="0"/>
          <w:numId w:val="6"/>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不准留长发和胡子，不准佩带戒指等装饰物品；</w:t>
      </w:r>
    </w:p>
    <w:p>
      <w:pPr>
        <w:keepNext w:val="0"/>
        <w:keepLines w:val="0"/>
        <w:pageBreakBefore w:val="0"/>
        <w:widowControl w:val="0"/>
        <w:numPr>
          <w:ilvl w:val="0"/>
          <w:numId w:val="6"/>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要爱护公共财产，遵守公共道德，讲卫生，要保持岗位、集体宿舍的环境卫生；</w:t>
      </w:r>
    </w:p>
    <w:p>
      <w:pPr>
        <w:keepNext w:val="0"/>
        <w:keepLines w:val="0"/>
        <w:pageBreakBefore w:val="0"/>
        <w:widowControl w:val="0"/>
        <w:numPr>
          <w:ilvl w:val="0"/>
          <w:numId w:val="6"/>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严格遵守请假、销假制度，不准讲假话或弄虚作假。</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以上九条纪律所有保安人员必须严格遵守，对违反规定者是情节严重给予批评教育、扣发奖金、辞退或除名。</w:t>
      </w:r>
    </w:p>
    <w:p>
      <w:pPr>
        <w:keepNext w:val="0"/>
        <w:keepLines w:val="0"/>
        <w:pageBreakBefore w:val="0"/>
        <w:widowControl w:val="0"/>
        <w:kinsoku/>
        <w:wordWrap/>
        <w:overflowPunct/>
        <w:topLinePunct w:val="0"/>
        <w:autoSpaceDE/>
        <w:autoSpaceDN/>
        <w:bidi w:val="0"/>
        <w:snapToGrid/>
        <w:spacing w:line="420" w:lineRule="exact"/>
        <w:ind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6.保安员仪容仪表规定</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着装、要举止文明、大方、得体</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统一穿黑色的皮鞋、黑袜、带保安帽、系领带，佩带保安工作牌，服装整齐、干净。（凡佩带不齐者不得上岗）</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不准带饰物，口袋内不准装过多的物品</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禁止披衣、敞怀、挽袖、卷裤腿、穿拖鞋或赤脚。</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不准留长发、留胡子、留长指甲，头发不得露于帽檐外，帽檐下发长不得超过1.5厘米，鼻毛不得长出鼻孔</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精神振作，姿态良好，抬头挺胸，不准弯腰驼背、东倒西歪、前倾后仰、不袖手、背手、叉腰或将手插入口袋。值班中不得吸烟、吃零食，不准勾肩搭背，做到站如松、坐如钟，动如风</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不准哼歌、吹口哨、收听收录机、看书报、玩手机</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不准随地吐痰，乱丢物品</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非公不准打电话，不准敲桌子或玩弄其他物品。</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参加集体活动时，如训练、紧急集合、外出交流、学习比赛等，要穿着统一，必须整队集合，保安员动作要迅速，跑步入队。集体完毕后指挥员要检查仪容仪表，下达整理服装的口令，凡未达到要求，精神不振者不能参加集体活动</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在队列训练中保安员必须保持步伐一致，口令、口号雄壮有力，指挥员的口令要清楚洪亮，富有号召力。</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上岗前，必须对照整容镜整理着装，检查衣、帽、领带、鞋带及装备器材是否安全、规范，班长应在岗上现场检查并予以纠正</w:t>
      </w:r>
    </w:p>
    <w:p>
      <w:pPr>
        <w:keepNext w:val="0"/>
        <w:keepLines w:val="0"/>
        <w:pageBreakBefore w:val="0"/>
        <w:widowControl w:val="0"/>
        <w:numPr>
          <w:ilvl w:val="0"/>
          <w:numId w:val="7"/>
        </w:numPr>
        <w:kinsoku/>
        <w:wordWrap/>
        <w:overflowPunct/>
        <w:topLinePunct w:val="0"/>
        <w:autoSpaceDE/>
        <w:autoSpaceDN/>
        <w:bidi w:val="0"/>
        <w:snapToGrid/>
        <w:spacing w:line="420" w:lineRule="exact"/>
        <w:ind w:left="0" w:firstLine="480" w:firstLineChars="20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在岗期间，保安队长必须按照规定着保安制服，带头遵守仪容仪表规定。</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w:t>
      </w:r>
      <w:r>
        <w:rPr>
          <w:rFonts w:hint="eastAsia" w:ascii="宋体" w:hAnsi="宋体" w:eastAsia="宋体" w:cs="宋体"/>
          <w:b/>
          <w:bCs/>
          <w:sz w:val="24"/>
          <w:highlight w:val="none"/>
        </w:rPr>
        <w:t>（六）保安情况处理的原则和方法</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1、原则</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保安员是国家公安机关的重要辅助力量。在日常协助公安人员维护管区治安秩序和护卫业主的安全中，必须及时处理各种问题，处理问题应遵循的原则：依法办事，执行公司各项规章不徇私，以理服人。</w:t>
      </w:r>
    </w:p>
    <w:p>
      <w:pPr>
        <w:keepNext w:val="0"/>
        <w:keepLines w:val="0"/>
        <w:pageBreakBefore w:val="0"/>
        <w:widowControl w:val="0"/>
        <w:numPr>
          <w:ilvl w:val="0"/>
          <w:numId w:val="8"/>
        </w:numPr>
        <w:kinsoku/>
        <w:wordWrap/>
        <w:overflowPunct/>
        <w:topLinePunct w:val="0"/>
        <w:autoSpaceDE/>
        <w:autoSpaceDN/>
        <w:bidi w:val="0"/>
        <w:snapToGrid/>
        <w:spacing w:line="420" w:lineRule="exact"/>
        <w:ind w:left="0"/>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方法：不同性质的问题，采取不同的方法进行处理。</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2.1 对业主之间一般违反法规的内部矛盾的问题，如纠纷，可通过说服教育办法解决主要是分清是非，耐心劝导，礼貌待人。</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2.2 对一时解决不了又有扩大趋势的问题，应采取“可散不可聚、可解不可结、可缓不可急、可顺不可逆”的处理原则，尽力劝开，耐心调解，把问题引向缓解，千万不要让矛盾激化，不利于问题解决。在处理上，坚持教育与处罚相结合的原则，如违反情节明显轻微，不需要给予处罚的，可当场予以教育或协助所在单位、家属进行教育。如需要给治安处罚的，交公安机关处理；违反客户有关规章制度的，交客户相关部门处理。</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2.3 对于犯罪问题，及时予以制止，把犯罪分子抓获扭送公安机关。</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3、一般情况处理办法</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所谓一般情况指安全管理员在执勤中经常遇到的在量各种各样的情况，这些情况在处理中如果得当，就会方便业主和群众，也给我们在执勤带来方便，如果这些情况处理不当，就会影响我们公司声誉，也给我们的工作带来不必须的麻烦。</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3.1 在执勤中出现可疑人、可疑事，尤其是犯罪线索要注意观察及时报告公保安卫部门，并事先向本单位领导反应情况，以便采取相应情况妥善处理。</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3.2 外来小商贩或推销各种物品的人的处理：</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对来园区的小商贩及推销人员一律清除出园区。</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3.3 对本单位查岗人员的接待：</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对认识的要行举手礼（夜间注目礼），对不认识的，查明身份后再行礼。</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单位查岗时，我们在做好岗位工作的基础上，要礼貌接待，并汇报执勤情况。</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3.4 对上级领导到来时的接待：</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上级领导到来，我们热烈欢迎，并礼貌接待，积极汇报工作，上级领导走时，要有欢送声。</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3.5 对于酗酒滋事者，我们谨慎处置，灵活处理，不要与其纠缠，保证自身安全的情况下，对其进行劝阻，如果再不听，要强行进行处置，待酒醒后再进行处理。</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3.6 对于打架斗殴的处置：</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在执勤中发现有打架斗殴的要主动上前制止，如双方不听劝阻，事态继续发展，要报告公安机关。</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3.7 对拾遗失物品，要一一登记清楚，并报告甲方单位领导或本司项目经理。</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3.8 对纠纷的处置:</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当群众发生矛盾，要求调解时，如果小矛盾纠纷，可主动调解，如果是较大的矛盾，应送上级领导处理。</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3.9 对流浪乞讨的处置：</w:t>
      </w:r>
    </w:p>
    <w:p>
      <w:pPr>
        <w:keepNext w:val="0"/>
        <w:keepLines w:val="0"/>
        <w:pageBreakBefore w:val="0"/>
        <w:widowControl w:val="0"/>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对于沿街乞讨的人员，可问明情况，确因种种原因造成生活无着的，可给予一份帮助，将其清除出园区，不得影响园区正常的环境秩序。</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4、特殊情况处置办法</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4.1 对火灾的处置：</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火灾事故，往往是由于生活用火不慎，燃放鞭炮、漏电、电击、坏人放火等原因的，如不及时扑灭，会造成人民生命财产安全的损失，一旦发生火灾，必须紧急处置。</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4.1.1 当发生火灾时，应立即报告项目经理及甲方单位领导，经允许方可报警，如特殊情况未及时报告时，要报警后再迅速报告相关领导。</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4.1.2 切断火灾现场的电源，找到附近的水源（消防栓），以便消防人员到达现场时可立即投入灭火（电器类火险不得使用消防栓灭火）。</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4.1.3 抢救火场物资，特别是把贵重物资、器材、资料、易燃易爆物品等，与救火群众一起，尽快地转移到安全地带。</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4.1.4 协助消防人员维护好现场秩序，防止坏人趁火打劫，对人民群众反映的火灾责任人或重点可疑对象，要报告公安机关。</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在执勤中遇有公开使用暴力，威胁或其他手段，如打、砸、抢，强行掠取或毁坏财物的犯罪时，要切实履行保安员的职责，立即进行处置。</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4.2 对抢劫的处置:</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4.2.1 迅速制止犯罪。当有人员叫喊抢劫时，应协助公安人员制止犯罪和抓获劫匪。</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4.2.2 犯罪嫌疑人逃离现场，要向目击者问清犯罪嫌疑人的人的人数、性别、身材、脸型、发式、衣着等明显的特征和逃走的方向，并组织发动群众进行追捕，并向公安机关报警。</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4.2.3 保护案发现场。如犯罪嫌疑人留有凶器，作案工具等，不要用手触摸，不要让无关群众进行现场。</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4.2.4 事主或在场群众有受伤的，要立即送医院抢救，并迅速报告公安机关。</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4.3 对交通肇事不能孰视无睹，应紧急作出处理。</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highlight w:val="none"/>
        </w:rPr>
      </w:pPr>
      <w:r>
        <w:rPr>
          <w:rFonts w:hint="eastAsia" w:ascii="宋体" w:hAnsi="宋体" w:eastAsia="宋体" w:cs="宋体"/>
          <w:sz w:val="24"/>
          <w:highlight w:val="none"/>
        </w:rPr>
        <w:t xml:space="preserve">  4.3.1 抢救受伤者。无论处于什么情况，抢救伤者是第一位的，如伤者生命垂危，应设法立即送往医院抢救，并报告公安交通部门。</w:t>
      </w:r>
    </w:p>
    <w:p>
      <w:pPr>
        <w:keepNext w:val="0"/>
        <w:keepLines w:val="0"/>
        <w:pageBreakBefore w:val="0"/>
        <w:widowControl w:val="0"/>
        <w:tabs>
          <w:tab w:val="left" w:pos="464"/>
        </w:tabs>
        <w:kinsoku/>
        <w:wordWrap/>
        <w:overflowPunct/>
        <w:topLinePunct w:val="0"/>
        <w:autoSpaceDE/>
        <w:autoSpaceDN/>
        <w:bidi w:val="0"/>
        <w:snapToGrid/>
        <w:spacing w:line="420" w:lineRule="exact"/>
        <w:jc w:val="left"/>
        <w:textAlignment w:val="auto"/>
        <w:outlineLvl w:val="0"/>
        <w:rPr>
          <w:rFonts w:hint="eastAsia" w:ascii="宋体" w:hAnsi="宋体" w:eastAsia="宋体" w:cs="宋体"/>
          <w:sz w:val="24"/>
          <w:szCs w:val="24"/>
        </w:rPr>
      </w:pPr>
      <w:r>
        <w:rPr>
          <w:rFonts w:hint="eastAsia" w:ascii="宋体" w:hAnsi="宋体" w:eastAsia="宋体" w:cs="宋体"/>
          <w:sz w:val="24"/>
          <w:highlight w:val="none"/>
        </w:rPr>
        <w:t xml:space="preserve">  4.3.2 保护出事现场，防止有人盗窃，哄抢肇事车辆或乘客的财物，公安人员到场后，应协助做好现场勘查工作。</w:t>
      </w: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szCs w:val="24"/>
        </w:rPr>
      </w:pPr>
      <w:bookmarkStart w:id="3" w:name="_GoBack"/>
      <w:bookmarkEnd w:id="3"/>
      <w:r>
        <w:rPr>
          <w:rFonts w:hint="eastAsia" w:ascii="宋体" w:hAnsi="宋体" w:eastAsia="宋体" w:cs="宋体"/>
          <w:sz w:val="24"/>
          <w:szCs w:val="24"/>
        </w:rPr>
        <w:t>附件一：</w:t>
      </w:r>
    </w:p>
    <w:p>
      <w:pPr>
        <w:spacing w:line="460" w:lineRule="exact"/>
        <w:ind w:firstLine="480" w:firstLineChars="200"/>
        <w:rPr>
          <w:rFonts w:hint="eastAsia" w:ascii="宋体" w:hAnsi="宋体" w:eastAsia="宋体" w:cs="宋体"/>
          <w:sz w:val="24"/>
          <w:szCs w:val="24"/>
        </w:rPr>
      </w:pPr>
    </w:p>
    <w:p>
      <w:pPr>
        <w:spacing w:line="460" w:lineRule="exact"/>
        <w:ind w:firstLine="562" w:firstLineChars="200"/>
        <w:jc w:val="center"/>
        <w:rPr>
          <w:rFonts w:hint="eastAsia" w:ascii="宋体" w:hAnsi="宋体" w:eastAsia="宋体" w:cs="宋体"/>
          <w:b/>
          <w:sz w:val="28"/>
          <w:szCs w:val="28"/>
        </w:rPr>
      </w:pPr>
      <w:r>
        <w:rPr>
          <w:rFonts w:hint="eastAsia" w:ascii="宋体" w:hAnsi="宋体" w:eastAsia="宋体" w:cs="宋体"/>
          <w:b/>
          <w:sz w:val="28"/>
          <w:szCs w:val="28"/>
        </w:rPr>
        <w:t>日常考核细则</w:t>
      </w:r>
    </w:p>
    <w:p>
      <w:pPr>
        <w:spacing w:line="460" w:lineRule="exact"/>
        <w:ind w:firstLine="562" w:firstLineChars="200"/>
        <w:jc w:val="center"/>
        <w:rPr>
          <w:rFonts w:hint="eastAsia" w:ascii="宋体" w:hAnsi="宋体" w:eastAsia="宋体" w:cs="宋体"/>
          <w:b/>
          <w:sz w:val="28"/>
          <w:szCs w:val="28"/>
        </w:rPr>
      </w:pP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1、保安人员应统一着装上岗，未着装人员扣20元。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2、保安人员应按时上岗、到岗到位，公园管理处采取不定时的方式进行抽查，15分钟未按时到岗到位者扣50元，30分钟未到岗者扣100元。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3、无正当理由无故缺勤，60分</w:t>
      </w:r>
      <w:r>
        <w:rPr>
          <w:rFonts w:hint="eastAsia" w:ascii="宋体" w:hAnsi="宋体" w:eastAsia="宋体" w:cs="宋体"/>
          <w:sz w:val="24"/>
          <w:szCs w:val="24"/>
          <w:lang w:eastAsia="zh-CN"/>
        </w:rPr>
        <w:t>钟</w:t>
      </w:r>
      <w:r>
        <w:rPr>
          <w:rFonts w:hint="eastAsia" w:ascii="宋体" w:hAnsi="宋体" w:eastAsia="宋体" w:cs="宋体"/>
          <w:sz w:val="24"/>
          <w:szCs w:val="24"/>
        </w:rPr>
        <w:t>未到岗者扣200元。保安人员在园区内聚众赌博或保安室有无关人员的扣200元。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4、园内发现一处垃圾广告30分钟未处理的扣20元。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5、园内发现一处吊挂、晒挂30分钟未处理的扣20元。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6、园内发现一处摊点30分</w:t>
      </w:r>
      <w:r>
        <w:rPr>
          <w:rFonts w:hint="eastAsia" w:ascii="宋体" w:hAnsi="宋体" w:eastAsia="宋体" w:cs="宋体"/>
          <w:sz w:val="24"/>
          <w:szCs w:val="24"/>
          <w:lang w:eastAsia="zh-CN"/>
        </w:rPr>
        <w:t>钟</w:t>
      </w:r>
      <w:r>
        <w:rPr>
          <w:rFonts w:hint="eastAsia" w:ascii="宋体" w:hAnsi="宋体" w:eastAsia="宋体" w:cs="宋体"/>
          <w:sz w:val="24"/>
          <w:szCs w:val="24"/>
        </w:rPr>
        <w:t>未处理的扣50元。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7、园内发现一处聚众赌博行为的30分</w:t>
      </w:r>
      <w:r>
        <w:rPr>
          <w:rFonts w:hint="eastAsia" w:ascii="宋体" w:hAnsi="宋体" w:eastAsia="宋体" w:cs="宋体"/>
          <w:sz w:val="24"/>
          <w:szCs w:val="24"/>
          <w:lang w:eastAsia="zh-CN"/>
        </w:rPr>
        <w:t>钟</w:t>
      </w:r>
      <w:r>
        <w:rPr>
          <w:rFonts w:hint="eastAsia" w:ascii="宋体" w:hAnsi="宋体" w:eastAsia="宋体" w:cs="宋体"/>
          <w:sz w:val="24"/>
          <w:szCs w:val="24"/>
        </w:rPr>
        <w:t>未处理扣100元。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8、园内发现不文明现象(如：在长槁上睡觉、打赤膊、乱丢垃圾等不文明行为)未及时劝阻的扣20元。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9、占用绿地、破坏绿地、损坏设施等未及时处理及上报的扣200元。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10、遇特殊情况不服抚河公园安排的扣300元。</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11、出现3次以上（含3次）一般安全事故或一次重大责任安全事故，招标方有权单方面终止合同的继续履行，并将成交服务商纳入我处项目招标的黑名单。</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12、以上考核内容抚河公园管理处以不定时的方式进行考核，所扣费用将在保安公司服务费中扣除。</w:t>
      </w:r>
    </w:p>
    <w:p>
      <w:pPr>
        <w:spacing w:line="460" w:lineRule="exact"/>
        <w:ind w:firstLine="480" w:firstLineChars="200"/>
        <w:rPr>
          <w:rFonts w:hint="eastAsia" w:ascii="宋体" w:hAnsi="宋体" w:eastAsia="宋体" w:cs="宋体"/>
          <w:sz w:val="24"/>
          <w:szCs w:val="24"/>
        </w:rPr>
      </w:pPr>
    </w:p>
    <w:p>
      <w:pPr>
        <w:spacing w:line="460" w:lineRule="exact"/>
        <w:ind w:firstLine="480" w:firstLineChars="200"/>
        <w:rPr>
          <w:rFonts w:hint="eastAsia" w:ascii="宋体" w:hAnsi="宋体" w:eastAsia="宋体" w:cs="宋体"/>
          <w:sz w:val="24"/>
          <w:szCs w:val="24"/>
        </w:rPr>
      </w:pPr>
    </w:p>
    <w:p>
      <w:pPr>
        <w:spacing w:line="460" w:lineRule="exact"/>
        <w:ind w:firstLine="480" w:firstLineChars="200"/>
        <w:rPr>
          <w:rFonts w:hint="eastAsia" w:ascii="宋体" w:hAnsi="宋体" w:eastAsia="宋体" w:cs="宋体"/>
          <w:sz w:val="24"/>
          <w:szCs w:val="24"/>
        </w:rPr>
      </w:pPr>
    </w:p>
    <w:p>
      <w:pPr>
        <w:spacing w:line="460" w:lineRule="exact"/>
        <w:ind w:firstLine="480" w:firstLineChars="200"/>
        <w:rPr>
          <w:rFonts w:hint="eastAsia" w:ascii="宋体" w:hAnsi="宋体" w:eastAsia="宋体" w:cs="宋体"/>
          <w:sz w:val="24"/>
          <w:szCs w:val="24"/>
        </w:rPr>
      </w:pPr>
    </w:p>
    <w:p>
      <w:pPr>
        <w:spacing w:line="460" w:lineRule="exact"/>
        <w:ind w:firstLine="480" w:firstLineChars="200"/>
        <w:rPr>
          <w:rFonts w:hint="eastAsia" w:ascii="宋体" w:hAnsi="宋体" w:eastAsia="宋体" w:cs="宋体"/>
          <w:sz w:val="24"/>
          <w:szCs w:val="24"/>
        </w:rPr>
      </w:pPr>
    </w:p>
    <w:p>
      <w:pPr>
        <w:spacing w:line="460" w:lineRule="exact"/>
        <w:ind w:firstLine="480" w:firstLineChars="200"/>
        <w:rPr>
          <w:rFonts w:hint="eastAsia" w:ascii="宋体" w:hAnsi="宋体" w:eastAsia="宋体" w:cs="宋体"/>
          <w:sz w:val="24"/>
          <w:szCs w:val="24"/>
        </w:rPr>
      </w:pPr>
    </w:p>
    <w:p>
      <w:pPr>
        <w:spacing w:line="460" w:lineRule="exact"/>
        <w:ind w:firstLine="480" w:firstLineChars="200"/>
        <w:rPr>
          <w:rFonts w:hint="eastAsia" w:ascii="宋体" w:hAnsi="宋体" w:eastAsia="宋体" w:cs="宋体"/>
          <w:sz w:val="24"/>
          <w:szCs w:val="24"/>
        </w:rPr>
      </w:pPr>
    </w:p>
    <w:p>
      <w:pPr>
        <w:spacing w:line="460" w:lineRule="exact"/>
        <w:ind w:firstLine="480" w:firstLineChars="200"/>
        <w:rPr>
          <w:rFonts w:hint="eastAsia" w:ascii="宋体" w:hAnsi="宋体" w:eastAsia="宋体" w:cs="宋体"/>
          <w:sz w:val="24"/>
          <w:szCs w:val="24"/>
        </w:rPr>
      </w:pPr>
    </w:p>
    <w:p>
      <w:pPr>
        <w:spacing w:line="460" w:lineRule="exact"/>
        <w:rPr>
          <w:rFonts w:hint="eastAsia" w:ascii="宋体" w:hAnsi="宋体" w:eastAsia="宋体" w:cs="宋体"/>
          <w:sz w:val="24"/>
          <w:szCs w:val="24"/>
        </w:rPr>
      </w:pPr>
    </w:p>
    <w:p>
      <w:pPr>
        <w:spacing w:line="460" w:lineRule="exact"/>
        <w:rPr>
          <w:rFonts w:hint="eastAsia" w:ascii="宋体" w:hAnsi="宋体" w:eastAsia="宋体" w:cs="宋体"/>
          <w:sz w:val="24"/>
          <w:highlight w:val="white"/>
        </w:rPr>
      </w:pPr>
      <w:r>
        <w:rPr>
          <w:rFonts w:hint="eastAsia" w:ascii="宋体" w:hAnsi="宋体" w:eastAsia="宋体" w:cs="宋体"/>
          <w:sz w:val="24"/>
          <w:szCs w:val="24"/>
        </w:rPr>
        <w:t>附件二：</w:t>
      </w:r>
    </w:p>
    <w:p>
      <w:pPr>
        <w:tabs>
          <w:tab w:val="left" w:pos="464"/>
        </w:tabs>
        <w:spacing w:line="460" w:lineRule="exact"/>
        <w:jc w:val="center"/>
        <w:outlineLvl w:val="0"/>
        <w:rPr>
          <w:rFonts w:hint="eastAsia" w:ascii="宋体" w:hAnsi="宋体" w:eastAsia="宋体" w:cs="宋体"/>
          <w:sz w:val="24"/>
          <w:highlight w:val="none"/>
        </w:rPr>
      </w:pPr>
      <w:r>
        <w:rPr>
          <w:rFonts w:hint="eastAsia" w:ascii="宋体" w:hAnsi="宋体" w:eastAsia="宋体" w:cs="宋体"/>
          <w:b/>
          <w:bCs/>
          <w:sz w:val="32"/>
          <w:szCs w:val="32"/>
          <w:highlight w:val="none"/>
        </w:rPr>
        <w:t>南昌市抚河公园管理处    年  月考核情况统计</w:t>
      </w:r>
    </w:p>
    <w:tbl>
      <w:tblPr>
        <w:tblStyle w:val="5"/>
        <w:tblpPr w:leftFromText="180" w:rightFromText="180" w:vertAnchor="text" w:horzAnchor="page" w:tblpX="1487" w:tblpY="31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3856"/>
        <w:gridCol w:w="851"/>
        <w:gridCol w:w="872"/>
        <w:gridCol w:w="1201"/>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9135" w:type="dxa"/>
            <w:gridSpan w:val="6"/>
            <w:noWrap w:val="0"/>
            <w:vAlign w:val="top"/>
          </w:tcPr>
          <w:p>
            <w:pPr>
              <w:tabs>
                <w:tab w:val="left" w:pos="464"/>
              </w:tabs>
              <w:spacing w:line="400" w:lineRule="exact"/>
              <w:jc w:val="left"/>
              <w:outlineLvl w:val="0"/>
              <w:rPr>
                <w:rFonts w:hint="eastAsia" w:ascii="宋体" w:hAnsi="宋体" w:eastAsia="宋体" w:cs="宋体"/>
                <w:color w:val="000000"/>
                <w:sz w:val="24"/>
                <w:highlight w:val="none"/>
              </w:rPr>
            </w:pPr>
            <w:r>
              <w:rPr>
                <w:rFonts w:hint="eastAsia" w:ascii="宋体" w:hAnsi="宋体" w:eastAsia="宋体" w:cs="宋体"/>
                <w:color w:val="000000"/>
                <w:sz w:val="24"/>
                <w:highlight w:val="none"/>
              </w:rPr>
              <w:t>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4"/>
                <w:highlight w:val="none"/>
              </w:rPr>
            </w:pPr>
            <w:r>
              <w:rPr>
                <w:rFonts w:hint="eastAsia" w:ascii="宋体" w:hAnsi="宋体" w:eastAsia="宋体" w:cs="宋体"/>
                <w:color w:val="000000"/>
                <w:sz w:val="24"/>
                <w:highlight w:val="none"/>
              </w:rPr>
              <w:t>序号</w:t>
            </w:r>
          </w:p>
        </w:tc>
        <w:tc>
          <w:tcPr>
            <w:tcW w:w="3856" w:type="dxa"/>
            <w:noWrap w:val="0"/>
            <w:vAlign w:val="center"/>
          </w:tcPr>
          <w:p>
            <w:pPr>
              <w:tabs>
                <w:tab w:val="left" w:pos="464"/>
              </w:tabs>
              <w:spacing w:line="400" w:lineRule="exact"/>
              <w:jc w:val="center"/>
              <w:outlineLvl w:val="0"/>
              <w:rPr>
                <w:rFonts w:hint="eastAsia" w:ascii="宋体" w:hAnsi="宋体" w:eastAsia="宋体" w:cs="宋体"/>
                <w:color w:val="000000"/>
                <w:sz w:val="24"/>
                <w:highlight w:val="none"/>
              </w:rPr>
            </w:pPr>
            <w:r>
              <w:rPr>
                <w:rFonts w:hint="eastAsia" w:ascii="宋体" w:hAnsi="宋体" w:eastAsia="宋体" w:cs="宋体"/>
                <w:color w:val="000000"/>
                <w:sz w:val="24"/>
                <w:highlight w:val="none"/>
              </w:rPr>
              <w:t>检查内容</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4"/>
                <w:highlight w:val="none"/>
              </w:rPr>
            </w:pPr>
            <w:r>
              <w:rPr>
                <w:rFonts w:hint="eastAsia" w:ascii="宋体" w:hAnsi="宋体" w:eastAsia="宋体" w:cs="宋体"/>
                <w:color w:val="000000"/>
                <w:sz w:val="24"/>
                <w:highlight w:val="none"/>
              </w:rPr>
              <w:t>分值</w:t>
            </w:r>
          </w:p>
        </w:tc>
        <w:tc>
          <w:tcPr>
            <w:tcW w:w="872" w:type="dxa"/>
            <w:noWrap w:val="0"/>
            <w:vAlign w:val="center"/>
          </w:tcPr>
          <w:p>
            <w:pPr>
              <w:tabs>
                <w:tab w:val="left" w:pos="464"/>
              </w:tabs>
              <w:spacing w:line="400" w:lineRule="exact"/>
              <w:jc w:val="center"/>
              <w:outlineLvl w:val="0"/>
              <w:rPr>
                <w:rFonts w:hint="eastAsia" w:ascii="宋体" w:hAnsi="宋体" w:eastAsia="宋体" w:cs="宋体"/>
                <w:color w:val="000000"/>
                <w:sz w:val="24"/>
                <w:highlight w:val="none"/>
              </w:rPr>
            </w:pPr>
            <w:r>
              <w:rPr>
                <w:rFonts w:hint="eastAsia" w:ascii="宋体" w:hAnsi="宋体" w:eastAsia="宋体" w:cs="宋体"/>
                <w:color w:val="000000"/>
                <w:sz w:val="24"/>
                <w:highlight w:val="none"/>
              </w:rPr>
              <w:t>扣分</w:t>
            </w:r>
          </w:p>
        </w:tc>
        <w:tc>
          <w:tcPr>
            <w:tcW w:w="1201" w:type="dxa"/>
            <w:noWrap w:val="0"/>
            <w:vAlign w:val="center"/>
          </w:tcPr>
          <w:p>
            <w:pPr>
              <w:tabs>
                <w:tab w:val="left" w:pos="464"/>
              </w:tabs>
              <w:spacing w:line="400" w:lineRule="exact"/>
              <w:jc w:val="center"/>
              <w:outlineLvl w:val="0"/>
              <w:rPr>
                <w:rFonts w:hint="eastAsia" w:ascii="宋体" w:hAnsi="宋体" w:eastAsia="宋体" w:cs="宋体"/>
                <w:color w:val="000000"/>
                <w:sz w:val="24"/>
                <w:highlight w:val="none"/>
              </w:rPr>
            </w:pPr>
            <w:r>
              <w:rPr>
                <w:rFonts w:hint="eastAsia" w:ascii="宋体" w:hAnsi="宋体" w:eastAsia="宋体" w:cs="宋体"/>
                <w:color w:val="000000"/>
                <w:sz w:val="24"/>
                <w:highlight w:val="none"/>
              </w:rPr>
              <w:t>扣分原因</w:t>
            </w:r>
          </w:p>
        </w:tc>
        <w:tc>
          <w:tcPr>
            <w:tcW w:w="1425" w:type="dxa"/>
            <w:noWrap w:val="0"/>
            <w:vAlign w:val="center"/>
          </w:tcPr>
          <w:p>
            <w:pPr>
              <w:tabs>
                <w:tab w:val="left" w:pos="464"/>
              </w:tabs>
              <w:spacing w:line="400" w:lineRule="exact"/>
              <w:jc w:val="center"/>
              <w:outlineLvl w:val="0"/>
              <w:rPr>
                <w:rFonts w:hint="eastAsia" w:ascii="宋体" w:hAnsi="宋体" w:eastAsia="宋体" w:cs="宋体"/>
                <w:color w:val="000000"/>
                <w:sz w:val="24"/>
                <w:highlight w:val="none"/>
              </w:rPr>
            </w:pPr>
            <w:r>
              <w:rPr>
                <w:rFonts w:hint="eastAsia" w:ascii="宋体" w:hAnsi="宋体" w:eastAsia="宋体" w:cs="宋体"/>
                <w:color w:val="00000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执勤时不得看书报等刊物、收听录音机、玩手机及做与工作无关的其他事情。</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restart"/>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 ☆  满分为100分。每发现一名违反以上事项的队员扣分一次，每次扣3分。每月90分为合格；☆如果当月考核低于90分，每低1分在当季服务费中扣除人民币</w:t>
            </w:r>
            <w:r>
              <w:rPr>
                <w:rFonts w:hint="eastAsia" w:ascii="宋体" w:hAnsi="宋体" w:eastAsia="宋体" w:cs="宋体"/>
                <w:color w:val="000000"/>
                <w:sz w:val="21"/>
                <w:szCs w:val="21"/>
                <w:highlight w:val="none"/>
                <w:lang w:val="en-US" w:eastAsia="zh-CN"/>
              </w:rPr>
              <w:t>2千</w:t>
            </w:r>
            <w:r>
              <w:rPr>
                <w:rFonts w:hint="eastAsia" w:ascii="宋体" w:hAnsi="宋体" w:eastAsia="宋体" w:cs="宋体"/>
                <w:color w:val="000000"/>
                <w:sz w:val="21"/>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听从指挥、服从安排，积极配合我处开展安全防范工作，维护园区合法权益。</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  </w:t>
            </w: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保安队员是否能够按规定着装，佩戴整齐，仪容仪态整洁。</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保安室及周边环境干净整洁，不能随意堆放杂物等，实行“门前三包”。</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5</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未及时制止打架斗殴、防火、防盗、造成园区经济损失。</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6</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园区内流动摊点不得多于3处。</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7</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工作态度不认真、散漫、执勤中相互打闹。</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8</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保安队伍是否对处保卫科下达的工作任务，没有正当理由未能如期完成者</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9</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上班时间一律不准饮酒，如发现酒后肇事，影响工作秩序的要进行处罚。</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10</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园区绿化设施受到破坏、侵占没及时报告、制止处理。</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val="en-US" w:eastAsia="zh-CN"/>
              </w:rPr>
              <w:t>9</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30"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11</w:t>
            </w:r>
          </w:p>
        </w:tc>
        <w:tc>
          <w:tcPr>
            <w:tcW w:w="3856" w:type="dxa"/>
            <w:noWrap w:val="0"/>
            <w:vAlign w:val="center"/>
          </w:tcPr>
          <w:p>
            <w:pPr>
              <w:tabs>
                <w:tab w:val="left" w:pos="464"/>
              </w:tabs>
              <w:spacing w:line="400" w:lineRule="exact"/>
              <w:outlineLvl w:val="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eastAsia="zh-CN"/>
              </w:rPr>
              <w:t>提供所有保安的影像考勤记录</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10</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4786" w:type="dxa"/>
            <w:gridSpan w:val="2"/>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总计</w:t>
            </w:r>
          </w:p>
        </w:tc>
        <w:tc>
          <w:tcPr>
            <w:tcW w:w="85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100</w:t>
            </w:r>
          </w:p>
        </w:tc>
        <w:tc>
          <w:tcPr>
            <w:tcW w:w="872" w:type="dxa"/>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4786" w:type="dxa"/>
            <w:gridSpan w:val="2"/>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当月得分</w:t>
            </w:r>
          </w:p>
        </w:tc>
        <w:tc>
          <w:tcPr>
            <w:tcW w:w="1723" w:type="dxa"/>
            <w:gridSpan w:val="2"/>
            <w:noWrap w:val="0"/>
            <w:vAlign w:val="center"/>
          </w:tcPr>
          <w:p>
            <w:pPr>
              <w:tabs>
                <w:tab w:val="left" w:pos="464"/>
              </w:tabs>
              <w:spacing w:line="400" w:lineRule="exact"/>
              <w:jc w:val="left"/>
              <w:outlineLvl w:val="0"/>
              <w:rPr>
                <w:rFonts w:hint="eastAsia" w:ascii="宋体" w:hAnsi="宋体" w:eastAsia="宋体" w:cs="宋体"/>
                <w:color w:val="000000"/>
                <w:sz w:val="21"/>
                <w:szCs w:val="21"/>
                <w:highlight w:val="none"/>
              </w:rPr>
            </w:pPr>
          </w:p>
        </w:tc>
        <w:tc>
          <w:tcPr>
            <w:tcW w:w="1201" w:type="dxa"/>
            <w:noWrap w:val="0"/>
            <w:vAlign w:val="center"/>
          </w:tcPr>
          <w:p>
            <w:pPr>
              <w:tabs>
                <w:tab w:val="left" w:pos="464"/>
              </w:tabs>
              <w:spacing w:line="400" w:lineRule="exact"/>
              <w:jc w:val="center"/>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425" w:type="dxa"/>
            <w:vMerge w:val="continue"/>
            <w:noWrap w:val="0"/>
            <w:vAlign w:val="top"/>
          </w:tcPr>
          <w:p>
            <w:pPr>
              <w:tabs>
                <w:tab w:val="left" w:pos="464"/>
              </w:tabs>
              <w:spacing w:line="400" w:lineRule="exact"/>
              <w:jc w:val="left"/>
              <w:outlineLvl w:val="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9135" w:type="dxa"/>
            <w:gridSpan w:val="6"/>
            <w:noWrap w:val="0"/>
            <w:vAlign w:val="top"/>
          </w:tcPr>
          <w:p>
            <w:pPr>
              <w:tabs>
                <w:tab w:val="left" w:pos="464"/>
                <w:tab w:val="left" w:pos="7032"/>
              </w:tabs>
              <w:spacing w:line="400" w:lineRule="exact"/>
              <w:jc w:val="left"/>
              <w:outlineLvl w:val="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处</w:t>
            </w:r>
            <w:r>
              <w:rPr>
                <w:rFonts w:hint="eastAsia" w:ascii="宋体" w:hAnsi="宋体" w:eastAsia="宋体" w:cs="宋体"/>
                <w:color w:val="000000"/>
                <w:sz w:val="21"/>
                <w:szCs w:val="21"/>
                <w:highlight w:val="none"/>
              </w:rPr>
              <w:t>分管领导：                 保卫科：               责任公司代表：</w:t>
            </w:r>
          </w:p>
        </w:tc>
      </w:tr>
    </w:tbl>
    <w:p>
      <w:pPr>
        <w:rPr>
          <w:rFonts w:hint="eastAsia" w:ascii="宋体" w:hAnsi="宋体" w:eastAsia="宋体" w:cs="宋体"/>
        </w:rPr>
      </w:pPr>
      <w:r>
        <w:rPr>
          <w:rFonts w:hint="eastAsia" w:ascii="宋体" w:hAnsi="宋体" w:eastAsia="宋体" w:cs="宋体"/>
        </w:rPr>
        <w:br w:type="page"/>
      </w:r>
    </w:p>
    <w:p>
      <w:pPr>
        <w:pStyle w:val="2"/>
        <w:spacing w:line="360" w:lineRule="auto"/>
        <w:rPr>
          <w:rFonts w:hint="eastAsia" w:ascii="宋体" w:hAnsi="宋体" w:eastAsia="宋体" w:cs="宋体"/>
          <w:b/>
          <w:bCs/>
          <w:sz w:val="28"/>
          <w:szCs w:val="28"/>
        </w:rPr>
      </w:pPr>
      <w:r>
        <w:rPr>
          <w:rFonts w:hint="eastAsia" w:ascii="宋体" w:hAnsi="宋体" w:eastAsia="宋体" w:cs="宋体"/>
          <w:highlight w:val="none"/>
        </w:rPr>
        <w:t>（二）商务条款</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1、服务期：签订合同后入场之日起算，服务期限一年（202</w:t>
      </w:r>
      <w:r>
        <w:rPr>
          <w:rFonts w:hint="eastAsia" w:ascii="宋体" w:hAnsi="宋体" w:eastAsia="宋体" w:cs="宋体"/>
          <w:sz w:val="24"/>
          <w:highlight w:val="none"/>
          <w:lang w:val="en-US" w:eastAsia="zh-CN"/>
        </w:rPr>
        <w:t>1</w:t>
      </w:r>
      <w:r>
        <w:rPr>
          <w:rFonts w:hint="eastAsia" w:ascii="宋体" w:hAnsi="宋体" w:eastAsia="宋体" w:cs="宋体"/>
          <w:sz w:val="24"/>
          <w:highlight w:val="none"/>
        </w:rPr>
        <w:t>年</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日至202</w:t>
      </w:r>
      <w:r>
        <w:rPr>
          <w:rFonts w:hint="eastAsia" w:ascii="宋体" w:hAnsi="宋体" w:eastAsia="宋体" w:cs="宋体"/>
          <w:sz w:val="24"/>
          <w:highlight w:val="none"/>
          <w:lang w:val="en-US" w:eastAsia="zh-CN"/>
        </w:rPr>
        <w:t>2</w:t>
      </w:r>
      <w:r>
        <w:rPr>
          <w:rFonts w:hint="eastAsia" w:ascii="宋体" w:hAnsi="宋体" w:eastAsia="宋体" w:cs="宋体"/>
          <w:sz w:val="24"/>
          <w:highlight w:val="none"/>
        </w:rPr>
        <w:t>年</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日）。</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2、服务地点：南昌市抚河公园内</w:t>
      </w:r>
    </w:p>
    <w:p>
      <w:pPr>
        <w:spacing w:line="460" w:lineRule="exact"/>
        <w:ind w:firstLine="480" w:firstLineChars="200"/>
        <w:rPr>
          <w:rFonts w:hint="eastAsia" w:ascii="宋体" w:hAnsi="宋体" w:eastAsia="宋体" w:cs="宋体"/>
          <w:sz w:val="24"/>
          <w:highlight w:val="none"/>
          <w:lang w:eastAsia="zh-CN"/>
        </w:rPr>
      </w:pPr>
      <w:r>
        <w:rPr>
          <w:rFonts w:hint="eastAsia" w:ascii="宋体" w:hAnsi="宋体" w:eastAsia="宋体" w:cs="宋体"/>
          <w:sz w:val="24"/>
          <w:highlight w:val="none"/>
          <w:lang w:val="en-US" w:eastAsia="zh-CN"/>
        </w:rPr>
        <w:t>3、</w:t>
      </w:r>
      <w:r>
        <w:rPr>
          <w:rFonts w:hint="eastAsia" w:ascii="宋体" w:hAnsi="宋体" w:eastAsia="宋体" w:cs="宋体"/>
          <w:sz w:val="24"/>
          <w:highlight w:val="none"/>
        </w:rPr>
        <w:t>成交服务商</w:t>
      </w:r>
      <w:r>
        <w:rPr>
          <w:rFonts w:hint="eastAsia" w:ascii="宋体" w:hAnsi="宋体" w:eastAsia="宋体" w:cs="宋体"/>
          <w:sz w:val="24"/>
          <w:highlight w:val="none"/>
          <w:lang w:eastAsia="zh-CN"/>
        </w:rPr>
        <w:t>应</w:t>
      </w:r>
      <w:r>
        <w:rPr>
          <w:rFonts w:hint="eastAsia" w:ascii="宋体" w:hAnsi="宋体" w:eastAsia="宋体" w:cs="宋体"/>
          <w:sz w:val="24"/>
          <w:highlight w:val="none"/>
        </w:rPr>
        <w:t>按照</w:t>
      </w:r>
      <w:r>
        <w:rPr>
          <w:rFonts w:hint="eastAsia" w:ascii="宋体" w:hAnsi="宋体" w:eastAsia="宋体" w:cs="宋体"/>
          <w:sz w:val="24"/>
          <w:highlight w:val="none"/>
          <w:lang w:eastAsia="zh-CN"/>
        </w:rPr>
        <w:t>国家相关规定和</w:t>
      </w:r>
      <w:r>
        <w:rPr>
          <w:rFonts w:hint="eastAsia" w:ascii="宋体" w:hAnsi="宋体" w:eastAsia="宋体" w:cs="宋体"/>
          <w:sz w:val="24"/>
          <w:highlight w:val="none"/>
        </w:rPr>
        <w:t>要求</w:t>
      </w:r>
      <w:r>
        <w:rPr>
          <w:rFonts w:hint="eastAsia" w:ascii="宋体" w:hAnsi="宋体" w:eastAsia="宋体" w:cs="宋体"/>
          <w:sz w:val="24"/>
          <w:highlight w:val="none"/>
          <w:lang w:eastAsia="zh-CN"/>
        </w:rPr>
        <w:t>，</w:t>
      </w:r>
      <w:r>
        <w:rPr>
          <w:rFonts w:hint="eastAsia" w:ascii="宋体" w:hAnsi="宋体" w:eastAsia="宋体" w:cs="宋体"/>
          <w:sz w:val="24"/>
          <w:highlight w:val="none"/>
        </w:rPr>
        <w:t>指派</w:t>
      </w:r>
      <w:r>
        <w:rPr>
          <w:rFonts w:hint="eastAsia" w:ascii="宋体" w:hAnsi="宋体" w:eastAsia="宋体" w:cs="宋体"/>
          <w:sz w:val="24"/>
          <w:highlight w:val="none"/>
          <w:lang w:eastAsia="zh-CN"/>
        </w:rPr>
        <w:t>的</w:t>
      </w:r>
      <w:r>
        <w:rPr>
          <w:rFonts w:hint="eastAsia" w:ascii="宋体" w:hAnsi="宋体" w:eastAsia="宋体" w:cs="宋体"/>
          <w:sz w:val="24"/>
          <w:highlight w:val="none"/>
        </w:rPr>
        <w:t>1</w:t>
      </w:r>
      <w:r>
        <w:rPr>
          <w:rFonts w:hint="eastAsia" w:ascii="宋体" w:hAnsi="宋体" w:eastAsia="宋体" w:cs="宋体"/>
          <w:sz w:val="24"/>
          <w:highlight w:val="none"/>
          <w:lang w:val="en-US" w:eastAsia="zh-CN"/>
        </w:rPr>
        <w:t>5</w:t>
      </w:r>
      <w:r>
        <w:rPr>
          <w:rFonts w:hint="eastAsia" w:ascii="宋体" w:hAnsi="宋体" w:eastAsia="宋体" w:cs="宋体"/>
          <w:sz w:val="24"/>
          <w:highlight w:val="none"/>
        </w:rPr>
        <w:t>名保安员须</w:t>
      </w:r>
      <w:r>
        <w:rPr>
          <w:rFonts w:hint="eastAsia" w:ascii="宋体" w:hAnsi="宋体" w:eastAsia="宋体" w:cs="宋体"/>
          <w:sz w:val="24"/>
          <w:highlight w:val="none"/>
          <w:lang w:eastAsia="zh-CN"/>
        </w:rPr>
        <w:t>具</w:t>
      </w:r>
      <w:r>
        <w:rPr>
          <w:rFonts w:hint="eastAsia" w:ascii="宋体" w:hAnsi="宋体" w:eastAsia="宋体" w:cs="宋体"/>
          <w:sz w:val="24"/>
          <w:highlight w:val="none"/>
        </w:rPr>
        <w:t>有公安部门颁发的保安员资格证</w:t>
      </w:r>
      <w:r>
        <w:rPr>
          <w:rFonts w:hint="eastAsia" w:ascii="宋体" w:hAnsi="宋体" w:eastAsia="宋体" w:cs="宋体"/>
          <w:sz w:val="24"/>
          <w:highlight w:val="none"/>
          <w:lang w:eastAsia="zh-CN"/>
        </w:rPr>
        <w:t>。</w:t>
      </w:r>
    </w:p>
    <w:p>
      <w:pPr>
        <w:spacing w:line="460" w:lineRule="exact"/>
        <w:ind w:left="0" w:leftChars="0" w:firstLine="420" w:firstLineChars="175"/>
        <w:rPr>
          <w:rFonts w:hint="eastAsia" w:ascii="宋体" w:hAnsi="宋体" w:eastAsia="宋体" w:cs="宋体"/>
          <w:sz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履约保证金金额：</w:t>
      </w:r>
      <w:r>
        <w:rPr>
          <w:rFonts w:hint="eastAsia" w:ascii="宋体" w:hAnsi="宋体" w:eastAsia="宋体" w:cs="宋体"/>
          <w:sz w:val="24"/>
          <w:szCs w:val="24"/>
          <w:highlight w:val="none"/>
          <w:lang w:eastAsia="zh-CN"/>
        </w:rPr>
        <w:t>中标价格的</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，在合同签订</w:t>
      </w:r>
      <w:r>
        <w:rPr>
          <w:rFonts w:hint="eastAsia" w:ascii="宋体" w:hAnsi="宋体" w:eastAsia="宋体" w:cs="宋体"/>
          <w:sz w:val="24"/>
          <w:szCs w:val="24"/>
          <w:highlight w:val="none"/>
          <w:lang w:eastAsia="zh-CN"/>
        </w:rPr>
        <w:t>后五</w:t>
      </w:r>
      <w:r>
        <w:rPr>
          <w:rFonts w:hint="eastAsia" w:ascii="宋体" w:hAnsi="宋体" w:eastAsia="宋体" w:cs="宋体"/>
          <w:sz w:val="24"/>
          <w:szCs w:val="24"/>
          <w:highlight w:val="none"/>
        </w:rPr>
        <w:t>个工作日内，按采购人的要求汇入采购人指定账户。履约保证金在项目最终验收合格后一次性无息退还。</w:t>
      </w:r>
    </w:p>
    <w:p>
      <w:pPr>
        <w:spacing w:line="460" w:lineRule="exact"/>
        <w:ind w:firstLine="480" w:firstLineChars="200"/>
        <w:rPr>
          <w:rFonts w:hint="eastAsia" w:ascii="宋体" w:hAnsi="宋体" w:eastAsia="宋体" w:cs="宋体"/>
          <w:sz w:val="24"/>
          <w:highlight w:val="none"/>
        </w:rPr>
      </w:pPr>
      <w:r>
        <w:rPr>
          <w:rFonts w:hint="eastAsia" w:ascii="宋体" w:hAnsi="宋体" w:cs="宋体"/>
          <w:sz w:val="24"/>
          <w:highlight w:val="none"/>
          <w:lang w:val="en-US" w:eastAsia="zh-CN"/>
        </w:rPr>
        <w:t>5</w:t>
      </w:r>
      <w:r>
        <w:rPr>
          <w:rFonts w:hint="eastAsia" w:ascii="宋体" w:hAnsi="宋体" w:eastAsia="宋体" w:cs="宋体"/>
          <w:sz w:val="24"/>
          <w:highlight w:val="none"/>
        </w:rPr>
        <w:t>、保安服务费及支付方式</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保安服务费实行季度（3个月）结制，按季度实际支付保安服务费，服务满一个季度后，中标单位按采购人考核结果向采购人开具正式发票，采购人应在收到中标单位开具的正式发票后20日内以转账方式支付保安服务费</w:t>
      </w:r>
      <w:r>
        <w:rPr>
          <w:rFonts w:hint="eastAsia" w:ascii="宋体" w:hAnsi="宋体" w:eastAsia="宋体" w:cs="宋体"/>
          <w:sz w:val="24"/>
          <w:highlight w:val="none"/>
          <w:lang w:eastAsia="zh-CN"/>
        </w:rPr>
        <w:t>（特殊情况除外）</w:t>
      </w:r>
      <w:r>
        <w:rPr>
          <w:rFonts w:hint="eastAsia" w:ascii="宋体" w:hAnsi="宋体" w:eastAsia="宋体" w:cs="宋体"/>
          <w:sz w:val="24"/>
          <w:highlight w:val="none"/>
        </w:rPr>
        <w:t>。</w:t>
      </w:r>
    </w:p>
    <w:p>
      <w:pPr>
        <w:spacing w:line="460" w:lineRule="exact"/>
        <w:ind w:firstLine="480" w:firstLineChars="200"/>
        <w:rPr>
          <w:rFonts w:hint="eastAsia" w:ascii="宋体" w:hAnsi="宋体" w:eastAsia="宋体" w:cs="宋体"/>
          <w:sz w:val="24"/>
          <w:highlight w:val="none"/>
        </w:rPr>
      </w:pPr>
      <w:r>
        <w:rPr>
          <w:rFonts w:hint="eastAsia" w:ascii="宋体" w:hAnsi="宋体" w:cs="宋体"/>
          <w:sz w:val="24"/>
          <w:highlight w:val="none"/>
          <w:lang w:val="en-US" w:eastAsia="zh-CN"/>
        </w:rPr>
        <w:t>6</w:t>
      </w:r>
      <w:r>
        <w:rPr>
          <w:rFonts w:hint="eastAsia" w:ascii="宋体" w:hAnsi="宋体" w:eastAsia="宋体" w:cs="宋体"/>
          <w:sz w:val="24"/>
          <w:highlight w:val="none"/>
        </w:rPr>
        <w:t>、工作交接时间</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中标供应商在获得中标通知书后三个工作日内与甲方签订合同。双方在合同签订后，乙方必须在合同执行日前完成所有交接的准备工作，并确保能按期履行合同。</w:t>
      </w:r>
    </w:p>
    <w:p>
      <w:pPr>
        <w:spacing w:line="460" w:lineRule="exact"/>
        <w:ind w:firstLine="480" w:firstLineChars="200"/>
        <w:rPr>
          <w:rFonts w:hint="eastAsia" w:ascii="宋体" w:hAnsi="宋体" w:eastAsia="宋体" w:cs="宋体"/>
          <w:sz w:val="24"/>
          <w:highlight w:val="none"/>
        </w:rPr>
      </w:pPr>
      <w:r>
        <w:rPr>
          <w:rFonts w:hint="eastAsia" w:ascii="宋体" w:hAnsi="宋体" w:cs="宋体"/>
          <w:sz w:val="24"/>
          <w:highlight w:val="none"/>
          <w:lang w:val="en-US" w:eastAsia="zh-CN"/>
        </w:rPr>
        <w:t>7</w:t>
      </w:r>
      <w:r>
        <w:rPr>
          <w:rFonts w:hint="eastAsia" w:ascii="宋体" w:hAnsi="宋体" w:eastAsia="宋体" w:cs="宋体"/>
          <w:sz w:val="24"/>
          <w:highlight w:val="none"/>
        </w:rPr>
        <w:t>、保密要求：</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采购人和中标人双方同意保守在缔结和履行合同过程中获知的对方保密信息，除一方履行合同义务的必要或法律、法规规定应披露的之外，不得以任何方式向第三人披露和不正当使用，否则，应当赔偿因泄露保密信息给对方造成的损失。</w:t>
      </w:r>
    </w:p>
    <w:p>
      <w:pPr>
        <w:pStyle w:val="2"/>
        <w:keepNext/>
        <w:keepLines/>
        <w:pageBreakBefore w:val="0"/>
        <w:widowControl w:val="0"/>
        <w:numPr>
          <w:ilvl w:val="0"/>
          <w:numId w:val="0"/>
        </w:numPr>
        <w:kinsoku/>
        <w:wordWrap w:val="0"/>
        <w:overflowPunct/>
        <w:topLinePunct w:val="0"/>
        <w:autoSpaceDE/>
        <w:autoSpaceDN/>
        <w:bidi w:val="0"/>
        <w:adjustRightInd/>
        <w:snapToGrid/>
        <w:spacing w:line="416" w:lineRule="auto"/>
        <w:ind w:firstLine="480" w:firstLineChars="200"/>
        <w:jc w:val="left"/>
        <w:textAlignment w:val="auto"/>
        <w:outlineLvl w:val="1"/>
        <w:rPr>
          <w:rFonts w:hint="eastAsia" w:ascii="宋体" w:hAnsi="宋体" w:eastAsia="宋体" w:cs="宋体"/>
          <w:b w:val="0"/>
          <w:bCs w:val="0"/>
          <w:color w:val="auto"/>
          <w:sz w:val="24"/>
          <w:highlight w:val="none"/>
          <w:lang w:val="en-US" w:eastAsia="zh-CN"/>
        </w:rPr>
      </w:pPr>
      <w:r>
        <w:rPr>
          <w:rFonts w:hint="eastAsia" w:ascii="宋体" w:hAnsi="宋体" w:eastAsia="宋体" w:cs="宋体"/>
          <w:b w:val="0"/>
          <w:bCs w:val="0"/>
          <w:color w:val="auto"/>
          <w:sz w:val="24"/>
          <w:highlight w:val="none"/>
          <w:lang w:val="en-US" w:eastAsia="zh-CN"/>
        </w:rPr>
        <w:t>8、其它要求：由于之前签订的保安服务期限到今年6月08号结束，本次项目招标结束到跟中标供应商签订中标合同还有进场，时间上会比之前保安服务到期时间晚一个月左右，为了能衔接这一个月的空档期，保证抚河公园内保安服务，本次中标供应商签订合同为12个月，实际进场服务期为11个月，按11个月服务期结算服务费，另外1个月的服务费以合同中标价</w:t>
      </w:r>
      <w:r>
        <w:rPr>
          <w:rFonts w:hint="default"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lang w:val="en-US" w:eastAsia="zh-CN"/>
        </w:rPr>
        <w:t>12月</w:t>
      </w:r>
      <w:r>
        <w:rPr>
          <w:rFonts w:hint="default"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lang w:val="en-US" w:eastAsia="zh-CN"/>
        </w:rPr>
        <w:t>15人</w:t>
      </w:r>
      <w:r>
        <w:rPr>
          <w:rFonts w:hint="default"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lang w:val="en-US" w:eastAsia="zh-CN"/>
        </w:rPr>
        <w:t>11人，进行支付给之前的服务商。</w:t>
      </w:r>
    </w:p>
    <w:p/>
    <w:sectPr>
      <w:pgSz w:w="11906" w:h="16838"/>
      <w:pgMar w:top="1440" w:right="1800" w:bottom="1440"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chineseCounting"/>
      <w:suff w:val="nothing"/>
      <w:lvlText w:val="（%1）"/>
      <w:lvlJc w:val="left"/>
      <w:rPr>
        <w:rFonts w:hint="eastAsia"/>
      </w:rPr>
    </w:lvl>
  </w:abstractNum>
  <w:abstractNum w:abstractNumId="1">
    <w:nsid w:val="0000000C"/>
    <w:multiLevelType w:val="singleLevel"/>
    <w:tmpl w:val="0000000C"/>
    <w:lvl w:ilvl="0" w:tentative="0">
      <w:start w:val="1"/>
      <w:numFmt w:val="decimal"/>
      <w:suff w:val="nothing"/>
      <w:lvlText w:val="%1）"/>
      <w:lvlJc w:val="left"/>
      <w:pPr>
        <w:ind w:left="841" w:firstLine="0"/>
      </w:pPr>
    </w:lvl>
  </w:abstractNum>
  <w:abstractNum w:abstractNumId="2">
    <w:nsid w:val="0000000F"/>
    <w:multiLevelType w:val="singleLevel"/>
    <w:tmpl w:val="0000000F"/>
    <w:lvl w:ilvl="0" w:tentative="0">
      <w:start w:val="1"/>
      <w:numFmt w:val="decimal"/>
      <w:suff w:val="nothing"/>
      <w:lvlText w:val="（%1）"/>
      <w:lvlJc w:val="left"/>
      <w:pPr>
        <w:ind w:left="186" w:firstLine="0"/>
      </w:pPr>
    </w:lvl>
  </w:abstractNum>
  <w:abstractNum w:abstractNumId="3">
    <w:nsid w:val="00000011"/>
    <w:multiLevelType w:val="singleLevel"/>
    <w:tmpl w:val="00000011"/>
    <w:lvl w:ilvl="0" w:tentative="0">
      <w:start w:val="1"/>
      <w:numFmt w:val="decimal"/>
      <w:suff w:val="nothing"/>
      <w:lvlText w:val="%1）"/>
      <w:lvlJc w:val="left"/>
      <w:pPr>
        <w:ind w:left="720" w:firstLine="0"/>
      </w:pPr>
    </w:lvl>
  </w:abstractNum>
  <w:abstractNum w:abstractNumId="4">
    <w:nsid w:val="00000015"/>
    <w:multiLevelType w:val="singleLevel"/>
    <w:tmpl w:val="00000015"/>
    <w:lvl w:ilvl="0" w:tentative="0">
      <w:start w:val="1"/>
      <w:numFmt w:val="decimal"/>
      <w:suff w:val="nothing"/>
      <w:lvlText w:val="%1）"/>
      <w:lvlJc w:val="left"/>
      <w:pPr>
        <w:ind w:left="720" w:firstLine="0"/>
      </w:pPr>
    </w:lvl>
  </w:abstractNum>
  <w:abstractNum w:abstractNumId="5">
    <w:nsid w:val="00000017"/>
    <w:multiLevelType w:val="singleLevel"/>
    <w:tmpl w:val="00000017"/>
    <w:lvl w:ilvl="0" w:tentative="0">
      <w:start w:val="1"/>
      <w:numFmt w:val="decimal"/>
      <w:lvlText w:val="%1."/>
      <w:lvlJc w:val="left"/>
      <w:pPr>
        <w:tabs>
          <w:tab w:val="left" w:pos="312"/>
        </w:tabs>
        <w:ind w:left="481" w:firstLine="0"/>
      </w:pPr>
    </w:lvl>
  </w:abstractNum>
  <w:abstractNum w:abstractNumId="6">
    <w:nsid w:val="00000018"/>
    <w:multiLevelType w:val="singleLevel"/>
    <w:tmpl w:val="00000018"/>
    <w:lvl w:ilvl="0" w:tentative="0">
      <w:start w:val="2"/>
      <w:numFmt w:val="decimal"/>
      <w:suff w:val="nothing"/>
      <w:lvlText w:val="%1、"/>
      <w:lvlJc w:val="left"/>
      <w:pPr>
        <w:ind w:left="360" w:firstLine="0"/>
      </w:pPr>
    </w:lvl>
  </w:abstractNum>
  <w:abstractNum w:abstractNumId="7">
    <w:nsid w:val="0000001E"/>
    <w:multiLevelType w:val="singleLevel"/>
    <w:tmpl w:val="0000001E"/>
    <w:lvl w:ilvl="0" w:tentative="0">
      <w:start w:val="1"/>
      <w:numFmt w:val="decimal"/>
      <w:suff w:val="nothing"/>
      <w:lvlText w:val="%1）"/>
      <w:lvlJc w:val="left"/>
      <w:pPr>
        <w:ind w:left="720" w:firstLine="0"/>
      </w:pPr>
    </w:lvl>
  </w:abstractNum>
  <w:num w:numId="1">
    <w:abstractNumId w:val="0"/>
  </w:num>
  <w:num w:numId="2">
    <w:abstractNumId w:val="2"/>
  </w:num>
  <w:num w:numId="3">
    <w:abstractNumId w:val="5"/>
  </w:num>
  <w:num w:numId="4">
    <w:abstractNumId w:val="1"/>
  </w:num>
  <w:num w:numId="5">
    <w:abstractNumId w:val="4"/>
  </w:num>
  <w:num w:numId="6">
    <w:abstractNumId w:val="3"/>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8F6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8"/>
      <w:szCs w:val="24"/>
      <w:lang w:val="en-US" w:eastAsia="zh-CN"/>
    </w:rPr>
  </w:style>
  <w:style w:type="paragraph" w:styleId="3">
    <w:name w:val="heading 1"/>
    <w:basedOn w:val="1"/>
    <w:next w:val="1"/>
    <w:qFormat/>
    <w:uiPriority w:val="0"/>
    <w:pPr>
      <w:keepNext/>
      <w:keepLines/>
      <w:spacing w:before="340" w:beforeLines="0" w:after="330" w:afterLines="0" w:line="578" w:lineRule="auto"/>
      <w:jc w:val="center"/>
      <w:outlineLvl w:val="0"/>
    </w:pPr>
    <w:rPr>
      <w:rFonts w:eastAsia="仿宋"/>
      <w:b/>
      <w:bCs/>
      <w:kern w:val="44"/>
      <w:sz w:val="36"/>
      <w:szCs w:val="44"/>
    </w:rPr>
  </w:style>
  <w:style w:type="paragraph" w:styleId="2">
    <w:name w:val="heading 2"/>
    <w:basedOn w:val="1"/>
    <w:next w:val="1"/>
    <w:qFormat/>
    <w:uiPriority w:val="0"/>
    <w:pPr>
      <w:keepNext/>
      <w:keepLines/>
      <w:spacing w:before="260" w:beforeLines="0" w:after="260" w:afterLines="0" w:line="416" w:lineRule="auto"/>
      <w:jc w:val="center"/>
      <w:outlineLvl w:val="1"/>
    </w:pPr>
    <w:rPr>
      <w:rFonts w:ascii="Arial" w:hAnsi="Arial" w:eastAsia="仿宋"/>
      <w:b/>
      <w:bCs/>
      <w:kern w:val="2"/>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0"/>
    <w:pPr>
      <w:spacing w:line="240" w:lineRule="atLeast"/>
    </w:pPr>
    <w:rPr>
      <w:kern w:val="2"/>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2021-06-17T07:40:05Z</dcterms:created>
  <dc:creator>Administrator.BF-20210616AINA</dc:creator>
  <cp:lastModifiedBy>创新</cp:lastModifiedBy>
  <dcterms:modified xsi:type="dcterms:W3CDTF">2021-06-17T07:40:53Z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C9D61E85577349E9B8CA384CC9495EF7</vt:lpwstr>
  </property>
</Properties>
</file>