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160"/>
        </w:rPr>
      </w:pPr>
    </w:p>
    <w:p>
      <w:pPr>
        <w:tabs>
          <w:tab w:val="center" w:pos="4379"/>
          <w:tab w:val="right" w:pos="8640"/>
        </w:tabs>
        <w:jc w:val="left"/>
        <w:rPr>
          <w:rFonts w:hint="eastAsia" w:ascii="宋体" w:hAnsi="宋体" w:eastAsia="宋体" w:cs="宋体"/>
          <w:sz w:val="160"/>
          <w:lang w:val="en-US" w:eastAsia="zh-CN"/>
        </w:rPr>
      </w:pPr>
      <w:r>
        <w:rPr>
          <w:rFonts w:hint="eastAsia"/>
          <w:sz w:val="160"/>
          <w:lang w:eastAsia="zh-CN"/>
        </w:rPr>
        <w:tab/>
      </w:r>
      <w:r>
        <w:rPr>
          <w:rFonts w:hint="eastAsia" w:ascii="宋体" w:hAnsi="宋体" w:eastAsia="宋体" w:cs="宋体"/>
          <w:sz w:val="160"/>
        </w:rPr>
        <w:t>询价函</w:t>
      </w:r>
    </w:p>
    <w:p>
      <w:pPr>
        <w:jc w:val="left"/>
        <w:rPr>
          <w:rFonts w:hint="eastAsia" w:ascii="宋体" w:hAnsi="宋体" w:eastAsia="宋体" w:cs="宋体"/>
          <w:sz w:val="44"/>
          <w:szCs w:val="44"/>
        </w:rPr>
      </w:pPr>
    </w:p>
    <w:p>
      <w:pPr>
        <w:jc w:val="left"/>
        <w:rPr>
          <w:rFonts w:hint="eastAsia" w:ascii="宋体" w:hAnsi="宋体" w:eastAsia="宋体" w:cs="宋体"/>
          <w:sz w:val="44"/>
          <w:szCs w:val="44"/>
        </w:rPr>
      </w:pPr>
    </w:p>
    <w:p>
      <w:pPr>
        <w:pStyle w:val="2"/>
        <w:rPr>
          <w:rFonts w:hint="eastAsia" w:ascii="宋体" w:hAnsi="宋体" w:eastAsia="宋体" w:cs="宋体"/>
        </w:rPr>
      </w:pPr>
    </w:p>
    <w:p>
      <w:pPr>
        <w:spacing w:line="240" w:lineRule="auto"/>
        <w:ind w:left="2000" w:hanging="2008" w:hangingChars="500"/>
        <w:jc w:val="left"/>
        <w:rPr>
          <w:rFonts w:hint="eastAsia" w:ascii="宋体" w:hAnsi="宋体" w:eastAsia="宋体" w:cs="宋体"/>
          <w:b/>
          <w:sz w:val="40"/>
          <w:szCs w:val="44"/>
          <w:highlight w:val="none"/>
          <w:lang w:eastAsia="zh-CN"/>
        </w:rPr>
      </w:pPr>
      <w:r>
        <w:rPr>
          <w:rFonts w:hint="eastAsia" w:ascii="宋体" w:hAnsi="宋体" w:eastAsia="宋体" w:cs="宋体"/>
          <w:b/>
          <w:sz w:val="40"/>
          <w:szCs w:val="44"/>
          <w:highlight w:val="none"/>
        </w:rPr>
        <w:t>项目名称：</w:t>
      </w:r>
      <w:r>
        <w:rPr>
          <w:rFonts w:hint="eastAsia" w:ascii="宋体" w:hAnsi="宋体" w:eastAsia="宋体" w:cs="宋体"/>
          <w:b/>
          <w:sz w:val="40"/>
          <w:szCs w:val="44"/>
          <w:highlight w:val="none"/>
          <w:lang w:val="en-US" w:eastAsia="zh-CN"/>
        </w:rPr>
        <w:t>吉安十二中(扶园职高）“云机房”建设工程</w:t>
      </w:r>
    </w:p>
    <w:p>
      <w:pPr>
        <w:spacing w:line="240" w:lineRule="auto"/>
        <w:ind w:left="2000" w:hanging="2008" w:hangingChars="500"/>
        <w:jc w:val="left"/>
        <w:rPr>
          <w:rFonts w:hint="eastAsia" w:ascii="宋体" w:hAnsi="宋体" w:eastAsia="宋体" w:cs="宋体"/>
          <w:b/>
          <w:sz w:val="40"/>
          <w:szCs w:val="44"/>
        </w:rPr>
      </w:pPr>
    </w:p>
    <w:p>
      <w:pPr>
        <w:spacing w:line="240" w:lineRule="auto"/>
        <w:ind w:left="2000" w:hanging="2008" w:hangingChars="500"/>
        <w:jc w:val="left"/>
        <w:rPr>
          <w:rFonts w:hint="eastAsia" w:ascii="宋体" w:hAnsi="宋体" w:eastAsia="宋体" w:cs="宋体"/>
          <w:b/>
          <w:sz w:val="40"/>
          <w:szCs w:val="44"/>
        </w:rPr>
      </w:pPr>
      <w:r>
        <w:rPr>
          <w:rFonts w:hint="eastAsia" w:ascii="宋体" w:hAnsi="宋体" w:eastAsia="宋体" w:cs="宋体"/>
          <w:b/>
          <w:sz w:val="40"/>
          <w:szCs w:val="44"/>
        </w:rPr>
        <w:t>采购单位：</w:t>
      </w:r>
      <w:r>
        <w:rPr>
          <w:rFonts w:hint="eastAsia" w:ascii="宋体" w:hAnsi="宋体" w:eastAsia="宋体" w:cs="宋体"/>
          <w:b/>
          <w:sz w:val="40"/>
          <w:szCs w:val="44"/>
          <w:lang w:eastAsia="zh-CN"/>
        </w:rPr>
        <w:t>吉安市第十二中学</w:t>
      </w:r>
      <w:r>
        <w:rPr>
          <w:rFonts w:hint="eastAsia" w:ascii="宋体" w:hAnsi="宋体" w:eastAsia="宋体" w:cs="宋体"/>
          <w:b/>
          <w:sz w:val="40"/>
          <w:szCs w:val="44"/>
        </w:rPr>
        <w:t xml:space="preserve">（章） </w:t>
      </w:r>
    </w:p>
    <w:p>
      <w:pPr>
        <w:pStyle w:val="2"/>
        <w:rPr>
          <w:rFonts w:hint="eastAsia" w:ascii="宋体" w:hAnsi="宋体" w:eastAsia="宋体" w:cs="宋体"/>
        </w:rPr>
      </w:pPr>
    </w:p>
    <w:p>
      <w:pPr>
        <w:jc w:val="left"/>
        <w:rPr>
          <w:rFonts w:hint="eastAsia" w:ascii="宋体" w:hAnsi="宋体" w:eastAsia="宋体" w:cs="宋体"/>
          <w:b/>
          <w:sz w:val="40"/>
          <w:szCs w:val="44"/>
          <w:lang w:eastAsia="zh-CN"/>
        </w:rPr>
      </w:pPr>
      <w:r>
        <w:rPr>
          <w:rFonts w:hint="eastAsia" w:ascii="宋体" w:hAnsi="宋体" w:eastAsia="宋体" w:cs="宋体"/>
          <w:b/>
          <w:sz w:val="40"/>
          <w:szCs w:val="44"/>
        </w:rPr>
        <w:t>采购代理：</w:t>
      </w:r>
      <w:r>
        <w:rPr>
          <w:rFonts w:hint="eastAsia" w:ascii="宋体" w:hAnsi="宋体" w:eastAsia="宋体" w:cs="宋体"/>
          <w:b/>
          <w:sz w:val="40"/>
          <w:szCs w:val="44"/>
          <w:lang w:eastAsia="zh-CN"/>
        </w:rPr>
        <w:t>江西睿创工程咨询监理有限公司</w:t>
      </w:r>
    </w:p>
    <w:p>
      <w:pPr>
        <w:spacing w:line="534" w:lineRule="exact"/>
        <w:ind w:right="40"/>
        <w:jc w:val="center"/>
        <w:rPr>
          <w:rFonts w:hint="eastAsia" w:ascii="宋体" w:hAnsi="宋体" w:eastAsia="宋体" w:cs="宋体"/>
          <w:b/>
          <w:sz w:val="40"/>
          <w:szCs w:val="44"/>
        </w:rPr>
      </w:pPr>
    </w:p>
    <w:p>
      <w:pPr>
        <w:spacing w:line="534" w:lineRule="exact"/>
        <w:ind w:right="40"/>
        <w:jc w:val="center"/>
        <w:rPr>
          <w:rFonts w:hint="eastAsia" w:ascii="宋体" w:hAnsi="宋体" w:eastAsia="宋体" w:cs="宋体"/>
          <w:b/>
          <w:sz w:val="40"/>
          <w:szCs w:val="44"/>
        </w:rPr>
      </w:pPr>
    </w:p>
    <w:p>
      <w:pPr>
        <w:pStyle w:val="2"/>
        <w:rPr>
          <w:rFonts w:hint="eastAsia"/>
        </w:rPr>
      </w:pPr>
    </w:p>
    <w:p>
      <w:pPr>
        <w:spacing w:line="534" w:lineRule="exact"/>
        <w:ind w:right="40"/>
        <w:jc w:val="center"/>
        <w:rPr>
          <w:rFonts w:hint="eastAsia" w:ascii="宋体" w:hAnsi="宋体" w:eastAsia="宋体" w:cs="宋体"/>
          <w:b/>
          <w:sz w:val="40"/>
          <w:szCs w:val="44"/>
        </w:rPr>
      </w:pPr>
      <w:r>
        <w:rPr>
          <w:rFonts w:hint="eastAsia" w:ascii="宋体" w:hAnsi="宋体" w:eastAsia="宋体" w:cs="宋体"/>
          <w:b/>
          <w:sz w:val="40"/>
          <w:szCs w:val="44"/>
        </w:rPr>
        <w:t>二零二零年七月</w:t>
      </w:r>
    </w:p>
    <w:p>
      <w:pPr>
        <w:pStyle w:val="2"/>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11"/>
        <w:numPr>
          <w:ilvl w:val="0"/>
          <w:numId w:val="1"/>
        </w:numPr>
        <w:ind w:firstLineChars="0"/>
        <w:jc w:val="center"/>
        <w:rPr>
          <w:rFonts w:hint="eastAsia" w:ascii="宋体" w:hAnsi="宋体" w:eastAsia="宋体" w:cs="宋体"/>
          <w:b/>
          <w:sz w:val="44"/>
          <w:szCs w:val="44"/>
        </w:rPr>
      </w:pPr>
      <w:r>
        <w:rPr>
          <w:rFonts w:hint="eastAsia" w:ascii="宋体" w:hAnsi="宋体" w:eastAsia="宋体" w:cs="宋体"/>
          <w:b/>
          <w:sz w:val="44"/>
          <w:szCs w:val="44"/>
        </w:rPr>
        <w:t xml:space="preserve"> 询价函</w:t>
      </w:r>
    </w:p>
    <w:p>
      <w:pPr>
        <w:pStyle w:val="11"/>
        <w:ind w:left="1200" w:firstLine="0" w:firstLineChars="0"/>
        <w:rPr>
          <w:rFonts w:hint="eastAsia" w:ascii="宋体" w:hAnsi="宋体" w:eastAsia="宋体" w:cs="宋体"/>
          <w:b/>
          <w:sz w:val="40"/>
          <w:szCs w:val="44"/>
        </w:rPr>
      </w:pPr>
    </w:p>
    <w:p>
      <w:pPr>
        <w:numPr>
          <w:ilvl w:val="0"/>
          <w:numId w:val="2"/>
        </w:numPr>
        <w:spacing w:line="360" w:lineRule="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询价内容</w:t>
      </w:r>
    </w:p>
    <w:p>
      <w:pPr>
        <w:pStyle w:val="2"/>
        <w:numPr>
          <w:ilvl w:val="0"/>
          <w:numId w:val="0"/>
        </w:numPr>
        <w:rPr>
          <w:rFonts w:hint="eastAsia" w:ascii="宋体" w:hAnsi="宋体" w:eastAsia="宋体" w:cs="宋体"/>
          <w:lang w:val="en-US" w:eastAsia="zh-CN"/>
        </w:rPr>
      </w:pPr>
      <w:r>
        <w:rPr>
          <w:rFonts w:hint="eastAsia" w:ascii="宋体" w:hAnsi="宋体" w:eastAsia="宋体" w:cs="宋体"/>
          <w:lang w:val="en-US" w:eastAsia="zh-CN"/>
        </w:rPr>
        <w:t>1、货物需求清单</w:t>
      </w:r>
    </w:p>
    <w:tbl>
      <w:tblPr>
        <w:tblStyle w:val="7"/>
        <w:tblW w:w="91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8"/>
        <w:gridCol w:w="1242"/>
        <w:gridCol w:w="5784"/>
        <w:gridCol w:w="825"/>
        <w:gridCol w:w="7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货物名称</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技术参数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91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一、“云机房”设备+电脑桌椅建设清单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讲台</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铁质材质+两端木质扶手，美观，耐用；</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教师椅</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皮质材质，靠背弓子椅；</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教学一体机设备</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3"/>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触控一体机整体参数要求：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1.整机采用一体设计，屏幕采用≥75英寸 LED 液晶屏。外部无任何可见内部功能模块连接线。整机采用全金属外壳设计，边角采用弧形设计，表面无尖锐边缘或凸起；</w:t>
            </w:r>
          </w:p>
          <w:p>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整机屏幕边缘采用金属圆角包边防护，整机背板采用金属材质，有效屏蔽内部电路器件辐射；防潮耐盐雾蚀锈，适应多种教学环境；</w:t>
            </w:r>
          </w:p>
          <w:p>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侧置输入接口具备2路HDMI、1路RS232；侧置输出接口具备1路音频、1路触控USB；前置输入接口3路USB接口（包含1路Type-C、2路USB）；</w:t>
            </w:r>
          </w:p>
          <w:p>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钢化玻璃表面硬度≥9H；</w:t>
            </w:r>
          </w:p>
          <w:p>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整机内置非独立外扩展的4阵列麦克风，可用于对教室环境音频进行采集，拾音距离≥12m；</w:t>
            </w:r>
          </w:p>
          <w:p>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整机内置2.2声道扬声器，位于设备上边框，顶置朝前发声，前朝向10W高音扬声器2个，上朝向20W中低音扬声器2个，额定总功率60W；</w:t>
            </w:r>
          </w:p>
          <w:p>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整机支持纸质护眼模式，可以在任意通道任意画面任意软件所有显示内容下实现画面纹理的实时调整；支持纸质纹理：牛皮纸、素描纸、宣纸、水彩纸、水纹纸；支持透明度调节；支持色温调节；</w:t>
            </w:r>
          </w:p>
          <w:p>
            <w:pPr>
              <w:keepNext w:val="0"/>
              <w:keepLines w:val="0"/>
              <w:widowControl/>
              <w:numPr>
                <w:ilvl w:val="0"/>
                <w:numId w:val="4"/>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整机支持蓝牙Bluetooth 5.2标准，固件版本号HCI11.20/LMP11.209.Wi-Fi制式支持IEEE 802.11 a/b/g/n/ac/ax；支持版本Wi-Fi6。</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（二）整机触摸屏参数要求：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1.采用红外触控技术，支持Windows系统中进行10点或以上触控；</w:t>
            </w:r>
          </w:p>
          <w:p>
            <w:pPr>
              <w:keepNext w:val="0"/>
              <w:keepLines w:val="0"/>
              <w:widowControl/>
              <w:numPr>
                <w:ilvl w:val="0"/>
                <w:numId w:val="5"/>
              </w:numPr>
              <w:suppressLineNumbers w:val="0"/>
              <w:tabs>
                <w:tab w:val="clear" w:pos="312"/>
              </w:tabs>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触摸屏具有防遮挡功能，触摸接收器在单点或多点遮挡后仍能正常书写；</w:t>
            </w:r>
          </w:p>
          <w:p>
            <w:pPr>
              <w:keepNext w:val="0"/>
              <w:keepLines w:val="0"/>
              <w:widowControl/>
              <w:numPr>
                <w:ilvl w:val="0"/>
                <w:numId w:val="5"/>
              </w:numPr>
              <w:suppressLineNumbers w:val="0"/>
              <w:tabs>
                <w:tab w:val="clear" w:pos="312"/>
              </w:tabs>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整机屏幕触摸有效识别高度不超过3.5mm,，即触摸物体距离玻璃外表面高度不超过3.5mm时，触摸屏识别为点击操作；</w:t>
            </w:r>
          </w:p>
          <w:p>
            <w:pPr>
              <w:keepNext w:val="0"/>
              <w:keepLines w:val="0"/>
              <w:widowControl/>
              <w:numPr>
                <w:ilvl w:val="0"/>
                <w:numId w:val="5"/>
              </w:numPr>
              <w:suppressLineNumbers w:val="0"/>
              <w:tabs>
                <w:tab w:val="clear" w:pos="312"/>
              </w:tabs>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支持同一支红外笔笔头、笔尾书写不同的颜色，且颜色可自定义。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（三）内置电脑模块参数要求：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 采用抽拉内置式模块化电脑，抽拉内置式，可实现无单独接线的插拔；</w:t>
            </w:r>
          </w:p>
          <w:p>
            <w:pPr>
              <w:keepNext w:val="0"/>
              <w:keepLines w:val="0"/>
              <w:widowControl/>
              <w:numPr>
                <w:ilvl w:val="0"/>
                <w:numId w:val="6"/>
              </w:numPr>
              <w:suppressLineNumbers w:val="0"/>
              <w:tabs>
                <w:tab w:val="clear" w:pos="312"/>
              </w:tabs>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处理器：Intel Core i5八代 或以上；内存：8G DDR4或以上配置；</w:t>
            </w:r>
          </w:p>
          <w:p>
            <w:pPr>
              <w:keepNext w:val="0"/>
              <w:keepLines w:val="0"/>
              <w:widowControl/>
              <w:numPr>
                <w:ilvl w:val="0"/>
                <w:numId w:val="6"/>
              </w:numPr>
              <w:suppressLineNumbers w:val="0"/>
              <w:tabs>
                <w:tab w:val="clear" w:pos="312"/>
              </w:tabs>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硬盘：256G固态硬盘或以上配置；</w:t>
            </w:r>
          </w:p>
          <w:p>
            <w:pPr>
              <w:keepNext w:val="0"/>
              <w:keepLines w:val="0"/>
              <w:widowControl/>
              <w:numPr>
                <w:ilvl w:val="0"/>
                <w:numId w:val="6"/>
              </w:numPr>
              <w:suppressLineNumbers w:val="0"/>
              <w:tabs>
                <w:tab w:val="clear" w:pos="312"/>
              </w:tabs>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内置 WiFi：IEEE 802.11n标准；</w:t>
            </w:r>
          </w:p>
          <w:p>
            <w:pPr>
              <w:keepNext w:val="0"/>
              <w:keepLines w:val="0"/>
              <w:widowControl/>
              <w:numPr>
                <w:ilvl w:val="0"/>
                <w:numId w:val="6"/>
              </w:numPr>
              <w:suppressLineNumbers w:val="0"/>
              <w:tabs>
                <w:tab w:val="clear" w:pos="312"/>
              </w:tabs>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内置网卡：10M/100M/1000M；</w:t>
            </w:r>
          </w:p>
          <w:p>
            <w:pPr>
              <w:keepNext w:val="0"/>
              <w:keepLines w:val="0"/>
              <w:widowControl/>
              <w:numPr>
                <w:ilvl w:val="0"/>
                <w:numId w:val="6"/>
              </w:numPr>
              <w:suppressLineNumbers w:val="0"/>
              <w:tabs>
                <w:tab w:val="clear" w:pos="312"/>
              </w:tabs>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采用按压式卡扣，无需工具就可快速拆卸电脑模块。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教学一体机黑板</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7"/>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黑板为左右推拉式(内置轨道，外框和轨道设计美观)；整个黑板均分为四块，其二块固定安装，二块可以左右移动。外侧移动黑板可以完整覆盖镶嵌安装在内部的一体机；</w:t>
            </w:r>
          </w:p>
          <w:p>
            <w:pPr>
              <w:keepNext w:val="0"/>
              <w:keepLines w:val="0"/>
              <w:widowControl/>
              <w:numPr>
                <w:ilvl w:val="0"/>
                <w:numId w:val="7"/>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书写面板:黑板：颜色墨绿色，亚光。材料采用合资板，厚度为≥0.3㎜，硬度介于6H—8H之间，采用中外合资版面，无接缝。表面附着墨绿色涂层厚度为0.05mm，硬度9H、无裂纹、无留痕、无气泡等缺陷；表面粗糙度≤12微米；</w:t>
            </w:r>
          </w:p>
          <w:p>
            <w:pPr>
              <w:keepNext w:val="0"/>
              <w:keepLines w:val="0"/>
              <w:widowControl/>
              <w:numPr>
                <w:ilvl w:val="0"/>
                <w:numId w:val="7"/>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内芯材料：采用高密度笨板。厚度12mm以上，面层无折痕，整张平整无接缝。泡沫板技术指标根据国标GB5034－85执行。防火、防水、吸音高强度；</w:t>
            </w:r>
          </w:p>
          <w:p>
            <w:pPr>
              <w:keepNext w:val="0"/>
              <w:keepLines w:val="0"/>
              <w:widowControl/>
              <w:numPr>
                <w:ilvl w:val="0"/>
                <w:numId w:val="7"/>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优质防锈镀锌板厚度≥0.20mm，锌含量Z12，技术要求不低于国标GB2518-88。整张平整无接缝；</w:t>
            </w:r>
          </w:p>
          <w:p>
            <w:pPr>
              <w:keepNext w:val="0"/>
              <w:keepLines w:val="0"/>
              <w:widowControl/>
              <w:numPr>
                <w:ilvl w:val="0"/>
                <w:numId w:val="7"/>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铝合金边框，颜色为电泳香槟色。横大框88mm×70mm，壁厚1mm。内框23×30mm，硬度为HRC14。铝合金技术性能符合国标GB/T5237-93；</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高清展台</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8"/>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采用≥800万像素摄像头；采用 USB五伏电源直接供电，无需额外配置电源适配器，环保无辐射；</w:t>
            </w:r>
          </w:p>
          <w:p>
            <w:pPr>
              <w:keepNext w:val="0"/>
              <w:keepLines w:val="0"/>
              <w:widowControl/>
              <w:numPr>
                <w:ilvl w:val="0"/>
                <w:numId w:val="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箱内USB连线采用隐藏式设计，箱内无可见连线且USB口下出，有效防止积尘，且方便布线和返修；</w:t>
            </w:r>
          </w:p>
          <w:p>
            <w:pPr>
              <w:keepNext w:val="0"/>
              <w:keepLines w:val="0"/>
              <w:widowControl/>
              <w:numPr>
                <w:ilvl w:val="0"/>
                <w:numId w:val="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A4大小拍摄幅面，1080P动态视频预览达到30帧/秒；托板及挂墙部分采用金属加强，托板可承重3kg，整机壁挂式安装；</w:t>
            </w:r>
          </w:p>
          <w:p>
            <w:pPr>
              <w:keepNext w:val="0"/>
              <w:keepLines w:val="0"/>
              <w:widowControl/>
              <w:numPr>
                <w:ilvl w:val="0"/>
                <w:numId w:val="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整机采用圆弧式设计，无锐角；同时托板采用磁吸吸附式机构，防止托板打落，方便打开及固定，避免机械式锁具故障率高的问题；</w:t>
            </w:r>
          </w:p>
          <w:p>
            <w:pPr>
              <w:keepNext w:val="0"/>
              <w:keepLines w:val="0"/>
              <w:widowControl/>
              <w:numPr>
                <w:ilvl w:val="0"/>
                <w:numId w:val="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展示托板正上方具备LED补光灯，保证展示区域的亮度及展示效果；</w:t>
            </w:r>
          </w:p>
          <w:p>
            <w:pPr>
              <w:keepNext w:val="0"/>
              <w:keepLines w:val="0"/>
              <w:widowControl/>
              <w:numPr>
                <w:ilvl w:val="0"/>
                <w:numId w:val="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带自动对焦摄像头；外壳在摄像头部分带保护镜片密封，防止灰尘沾染摄像头，防护等级达到IP4X级别。</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1"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机房音箱</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9"/>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扬声器类型：双6寸全频音箱；</w:t>
            </w:r>
          </w:p>
          <w:p>
            <w:pPr>
              <w:keepNext w:val="0"/>
              <w:keepLines w:val="0"/>
              <w:widowControl/>
              <w:numPr>
                <w:ilvl w:val="0"/>
                <w:numId w:val="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.频响：70Hz-20KHz；</w:t>
            </w:r>
          </w:p>
          <w:p>
            <w:pPr>
              <w:keepNext w:val="0"/>
              <w:keepLines w:val="0"/>
              <w:widowControl/>
              <w:numPr>
                <w:ilvl w:val="0"/>
                <w:numId w:val="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驱动单元：6吋*2低音+25芯钕磁4吋号角高音；</w:t>
            </w:r>
          </w:p>
          <w:p>
            <w:pPr>
              <w:keepNext w:val="0"/>
              <w:keepLines w:val="0"/>
              <w:widowControl/>
              <w:numPr>
                <w:ilvl w:val="0"/>
                <w:numId w:val="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灵敏度：95dB；</w:t>
            </w:r>
          </w:p>
          <w:p>
            <w:pPr>
              <w:keepNext w:val="0"/>
              <w:keepLines w:val="0"/>
              <w:widowControl/>
              <w:numPr>
                <w:ilvl w:val="0"/>
                <w:numId w:val="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阻抗(Ω)： 4Ω；</w:t>
            </w:r>
          </w:p>
          <w:p>
            <w:pPr>
              <w:keepNext w:val="0"/>
              <w:keepLines w:val="0"/>
              <w:widowControl/>
              <w:numPr>
                <w:ilvl w:val="0"/>
                <w:numId w:val="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功率：180W(AES)720W(PEAK)；</w:t>
            </w:r>
          </w:p>
          <w:p>
            <w:pPr>
              <w:keepNext w:val="0"/>
              <w:keepLines w:val="0"/>
              <w:widowControl/>
              <w:numPr>
                <w:ilvl w:val="0"/>
                <w:numId w:val="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插座：2xNL4。</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音箱功放</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0"/>
              </w:numPr>
              <w:suppressLineNumbers w:val="0"/>
              <w:tabs>
                <w:tab w:val="clear" w:pos="312"/>
              </w:tabs>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额定功率的300W  8Ω是一款内置专业DSP数码效果的两通道功放；</w:t>
            </w:r>
          </w:p>
          <w:p>
            <w:pPr>
              <w:keepNext w:val="0"/>
              <w:keepLines w:val="0"/>
              <w:widowControl/>
              <w:numPr>
                <w:ilvl w:val="0"/>
                <w:numId w:val="10"/>
              </w:numPr>
              <w:suppressLineNumbers w:val="0"/>
              <w:tabs>
                <w:tab w:val="clear" w:pos="312"/>
              </w:tabs>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5.1声道全数字输出，音乐立体声，正负7级高保真升降变调；</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麦克风输入端独设压限功能，有效防止破声，5级反馈抑制；</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音乐7段参量均衡，麦克风双路独立10段参量均衡，外加高低通调解；</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效果输入通道独立设有高、低通3段参量均衡等功能；</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主输出通道分别设3段参量均衡，高低通，输入选择及混合比例、极性、增益、压限、静音功能；</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中置出通道分别设3段参量均衡，高低通，输入选择及混合比例、极性、增益、静音功能；</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低音输出通道分别设3段参量均衡，极性、增益、静音功能；</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采用专业级200MHz 4核独立处理高速DSP处理器芯片，48KHz采样频率/24-bit A/D及D/A转换；</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配有专业PC设备管理控制软件操作，提供USB接口可连接电脑，操作方便直观；</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13组系统记忆功能，包含6组预算，6组自编，1组热舞；</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2级设备锁定功能，可根据使用需要自行设定设备锁定级别；</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唱歌、热舞自动控制切换；热舞数据保存在DanceData；</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音乐立体声，正负7级高保真升降标调；</w:t>
            </w:r>
          </w:p>
          <w:p>
            <w:pPr>
              <w:keepNext w:val="0"/>
              <w:keepLines w:val="0"/>
              <w:widowControl/>
              <w:numPr>
                <w:ilvl w:val="0"/>
                <w:numId w:val="10"/>
              </w:numPr>
              <w:suppressLineNumbers w:val="0"/>
              <w:ind w:left="0" w:leftChars="0"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输出功率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主输出（左/右）main output(L/R) 300W  8Ω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信噪比 S/N 麦克风 MIC 75dB 1KHz 0dB input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音乐 Music 80dB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失真度 THD 麦克风MIC 0.3% 1KHz 0dB input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一拖二无线头戴式话筒</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系统指标：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1.频率范围：680.00-699.5OMHz；</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调制方式：pi/4 DQPSK数字调试；</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信道数目：40；</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信道间隔：0.5MHz；</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频率稳定度：士0.001%；</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动态范围：90dB；</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频率响应：50Hz-16KHz；</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信噪比：≥80dB@1kHz；</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失真度：&lt;0.05%；</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接收机指标：</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使用电源电压：适配器DC12V；</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消耗功率：6w；</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无线接：SMA接口/50Q；</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灵敏度：&gt;-96dBm；</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最大输出电平：-6dBV；</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发射机指标：</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天线方式：内置天线；</w:t>
            </w:r>
          </w:p>
          <w:p>
            <w:pPr>
              <w:keepNext w:val="0"/>
              <w:keepLines w:val="0"/>
              <w:widowControl/>
              <w:numPr>
                <w:ilvl w:val="0"/>
                <w:numId w:val="1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消耗功率：0.5w；</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6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电源时序器</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双2寸彩色液晶屏显示，可实时显示当前电流、电压、日期、时间、每路开关状态；</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.内置时钟芯片，可实现定时自动开关机；</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支持移动设备控制调试，可实现无线一键开关机及模式调用；</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支持PC软件调试，对每路进行单独编辑，可在线一键场景模式调用及开机；</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8路输出，每路可自由设置延时开启和关闭时间，每路带独立滤波器，外加2路辅助电源；</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支持多台设备级联控制，级联状态可检测及设置，并设有触发功能；</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支持集中控制，可通过一台电脑PC端预设设备固定ID号；</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具有自带ID设置和检测功能；</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具有欠压/超压/过流检测及报警功能；</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支持6种波特率可选：4800 9600 19200 38400 57600 115200；</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支持设备端一键场景调用模式，8组设备开关场景数据保存/调用；</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PC可自定义设备名称；</w:t>
            </w:r>
          </w:p>
          <w:p>
            <w:pPr>
              <w:keepNext w:val="0"/>
              <w:keepLines w:val="0"/>
              <w:widowControl/>
              <w:numPr>
                <w:ilvl w:val="0"/>
                <w:numId w:val="1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支持10组设备开关场景数据保存/调用。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音箱线</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RVVP2*1.0规格，国标，无氧化</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学生双人电脑桌</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钢木结构双人电脑桌，长度≥140CM，宽度≥55CM，高度≥75CM；</w:t>
            </w:r>
          </w:p>
          <w:p>
            <w:pPr>
              <w:keepNext w:val="0"/>
              <w:keepLines w:val="0"/>
              <w:widowControl/>
              <w:numPr>
                <w:ilvl w:val="0"/>
                <w:numId w:val="13"/>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实木板材面板，自然木纹纹理；</w:t>
            </w:r>
          </w:p>
          <w:p>
            <w:pPr>
              <w:keepNext w:val="0"/>
              <w:keepLines w:val="0"/>
              <w:widowControl/>
              <w:numPr>
                <w:ilvl w:val="0"/>
                <w:numId w:val="13"/>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电脑桌结实耐用，布局合理，有两台主机放置位。</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2"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电脑凳</w:t>
            </w:r>
          </w:p>
        </w:tc>
        <w:tc>
          <w:tcPr>
            <w:tcW w:w="5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与桌子配套</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2"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服务器</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CPU：2颗 Silver 6226R（2.9GHz/16C）；</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内存：256G DDR4，16个内存插槽；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存储：2块 480G 企业级 SSD + 1块1T SATA，8个3.5寸硬件插槽；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网口：2个千兆网口；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管理：1个独立远程管理端口，支持远程安装操作系统；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电源：单电源；</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服务：3年(7x24)原厂服务；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其它：含上架导轨，不配光驱；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软件：云桌面系统教育版51个点位软件及授权。</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5"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教师云终端</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内置云教室教学系统教师端，X86架构，四核3.6Ghz，8G内存，256G SSD。</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学生云终端</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内置桌面虚拟化客户端，ARM架构，4核2.0Ghz，1G内存，8G存储。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软件</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提供屏幕广播、学生演示、网络影院、分组教学、抢答竞赛、文件收发、作业空间、师生网盘、班级管理、课程控制、终端控制、离线教学等课堂互动教学功能。</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显示器</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4"/>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分辨率1920*1080，21.5寸；</w:t>
            </w:r>
          </w:p>
          <w:p>
            <w:pPr>
              <w:keepNext w:val="0"/>
              <w:keepLines w:val="0"/>
              <w:widowControl/>
              <w:numPr>
                <w:ilvl w:val="0"/>
                <w:numId w:val="14"/>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VGA+HDMI显示接口。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键盘、鼠标</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USB键盘、鼠标。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1"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企业级路由器（千兆）</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1.全千兆企业级路由，可以带250台以上电脑宽带容量；</w:t>
            </w:r>
          </w:p>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2.1个千兆WAN口+1个千兆 LAN口+3个千兆WAN/LAN可变口。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1"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核心交换机（千兆）</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1.24口千兆企业级交换机；</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2.交换容量128Gbps，24端口线速转发。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汇聚层交换机        （千兆）</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1.24口千兆企业级交换机；</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2.交换容量48Gbps，24端口线速转发。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网络机柜</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1.48U网络机柜，尺寸：2000*800*600MM；</w:t>
            </w:r>
          </w:p>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2.放置音箱设备、路由器、交换机排插等，使机房干净整洁，便于维护。</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立式空调</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3P，立式空调，品牌机，冷暖型。</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网络线</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六类、无氧铜，国标。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RVV2*4平方的电源线，纯铜，国标。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电源排插</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2000瓦、阻燃性，绝缘性、抗冲击性和防潮性。</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辅材及配件</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线管，地槽，3M泡沫胶，标签，空气开关，扎带，绝缘电胶，电源等各种五金配件及辅材。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人工费</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综合布线，打水晶头，接排插，设备安装，调试，安装系统。原厂工程师提供项目的现场部署实施服务，并针对用户及管理员进行必要的培训服务。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点位</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91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二、“云机房”装修零星工程清单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原有教室物品及水泥站台搬运和垃圾清除</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5"/>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原有木柜、货物及其他物品搬运指定位置；</w:t>
            </w:r>
          </w:p>
          <w:p>
            <w:pPr>
              <w:keepNext w:val="0"/>
              <w:keepLines w:val="0"/>
              <w:widowControl/>
              <w:numPr>
                <w:ilvl w:val="0"/>
                <w:numId w:val="15"/>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水泥站台拆除；</w:t>
            </w:r>
          </w:p>
          <w:p>
            <w:pPr>
              <w:keepNext w:val="0"/>
              <w:keepLines w:val="0"/>
              <w:widowControl/>
              <w:numPr>
                <w:ilvl w:val="0"/>
                <w:numId w:val="15"/>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所有垃圾清除。</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防静电地板铺设</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6"/>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离地面10-15CM可调；</w:t>
            </w:r>
          </w:p>
          <w:p>
            <w:pPr>
              <w:keepNext w:val="0"/>
              <w:keepLines w:val="0"/>
              <w:widowControl/>
              <w:numPr>
                <w:ilvl w:val="0"/>
                <w:numId w:val="16"/>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尺寸：600*600*35MM；</w:t>
            </w:r>
          </w:p>
          <w:p>
            <w:pPr>
              <w:keepNext w:val="0"/>
              <w:keepLines w:val="0"/>
              <w:widowControl/>
              <w:numPr>
                <w:ilvl w:val="0"/>
                <w:numId w:val="16"/>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含金属支架及配件。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木质踢脚线</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复合踢脚线；</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立面块料拆除</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7"/>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原有墙面脱落铲除；</w:t>
            </w:r>
          </w:p>
          <w:p>
            <w:pPr>
              <w:keepNext w:val="0"/>
              <w:keepLines w:val="0"/>
              <w:widowControl/>
              <w:numPr>
                <w:ilvl w:val="0"/>
                <w:numId w:val="17"/>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原有装饰墙面铲除；</w:t>
            </w:r>
          </w:p>
          <w:p>
            <w:pPr>
              <w:keepNext w:val="0"/>
              <w:keepLines w:val="0"/>
              <w:widowControl/>
              <w:numPr>
                <w:ilvl w:val="0"/>
                <w:numId w:val="17"/>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垃圾清除。</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墙面批灰刮白</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8"/>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批灰刮仿瓷；</w:t>
            </w:r>
          </w:p>
          <w:p>
            <w:pPr>
              <w:keepNext w:val="0"/>
              <w:keepLines w:val="0"/>
              <w:widowControl/>
              <w:numPr>
                <w:ilvl w:val="0"/>
                <w:numId w:val="1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上乳胶漆2遍；</w:t>
            </w:r>
          </w:p>
          <w:p>
            <w:pPr>
              <w:keepNext w:val="0"/>
              <w:keepLines w:val="0"/>
              <w:widowControl/>
              <w:numPr>
                <w:ilvl w:val="0"/>
                <w:numId w:val="1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垃圾清除；</w:t>
            </w:r>
          </w:p>
          <w:p>
            <w:pPr>
              <w:keepNext w:val="0"/>
              <w:keepLines w:val="0"/>
              <w:widowControl/>
              <w:numPr>
                <w:ilvl w:val="0"/>
                <w:numId w:val="18"/>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铲除原有脱落仿瓷。</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更换铝合金窗</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9"/>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原有铝合金窗拆除；</w:t>
            </w:r>
          </w:p>
          <w:p>
            <w:pPr>
              <w:keepNext w:val="0"/>
              <w:keepLines w:val="0"/>
              <w:widowControl/>
              <w:numPr>
                <w:ilvl w:val="0"/>
                <w:numId w:val="1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更换铝合金窗；</w:t>
            </w:r>
          </w:p>
          <w:p>
            <w:pPr>
              <w:keepNext w:val="0"/>
              <w:keepLines w:val="0"/>
              <w:widowControl/>
              <w:numPr>
                <w:ilvl w:val="0"/>
                <w:numId w:val="19"/>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垃圾清除。</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更换不锈钢防盗网</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0"/>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原有的钢筋拆除；</w:t>
            </w:r>
          </w:p>
          <w:p>
            <w:pPr>
              <w:keepNext w:val="0"/>
              <w:keepLines w:val="0"/>
              <w:widowControl/>
              <w:numPr>
                <w:ilvl w:val="0"/>
                <w:numId w:val="2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304不锈钢材质；</w:t>
            </w:r>
          </w:p>
          <w:p>
            <w:pPr>
              <w:keepNext w:val="0"/>
              <w:keepLines w:val="0"/>
              <w:widowControl/>
              <w:numPr>
                <w:ilvl w:val="0"/>
                <w:numId w:val="2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垃圾清运。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防盗门</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更换防盗门，单开门。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窗帘</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1"/>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遮阳性强，颜色可选；</w:t>
            </w:r>
          </w:p>
          <w:p>
            <w:pPr>
              <w:keepNext w:val="0"/>
              <w:keepLines w:val="0"/>
              <w:widowControl/>
              <w:numPr>
                <w:ilvl w:val="0"/>
                <w:numId w:val="21"/>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罗马杆安装。</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5"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平板灯</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2"/>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尺寸：长*宽*高分别是1200*300*75mm；</w:t>
            </w:r>
          </w:p>
          <w:p>
            <w:pPr>
              <w:keepNext w:val="0"/>
              <w:keepLines w:val="0"/>
              <w:widowControl/>
              <w:numPr>
                <w:ilvl w:val="0"/>
                <w:numId w:val="2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照明功率：40W；</w:t>
            </w:r>
          </w:p>
          <w:p>
            <w:pPr>
              <w:keepNext w:val="0"/>
              <w:keepLines w:val="0"/>
              <w:widowControl/>
              <w:numPr>
                <w:ilvl w:val="0"/>
                <w:numId w:val="2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光学器材：匀光板；</w:t>
            </w:r>
          </w:p>
          <w:p>
            <w:pPr>
              <w:keepNext w:val="0"/>
              <w:keepLines w:val="0"/>
              <w:widowControl/>
              <w:numPr>
                <w:ilvl w:val="0"/>
                <w:numId w:val="2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产品材质：铝材+格栅；</w:t>
            </w:r>
          </w:p>
          <w:p>
            <w:pPr>
              <w:keepNext w:val="0"/>
              <w:keepLines w:val="0"/>
              <w:widowControl/>
              <w:numPr>
                <w:ilvl w:val="0"/>
                <w:numId w:val="22"/>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含吊杆支架。</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盏</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配电箱</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成套配电箱安装悬挂、嵌入式。</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控制开关</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漏电保护开关安装 4P。</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控制开关</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组合控制开关安装 1P。</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4m²室内电源线，国标。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辅材及配件</w:t>
            </w:r>
          </w:p>
        </w:tc>
        <w:tc>
          <w:tcPr>
            <w:tcW w:w="5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23"/>
              </w:numPr>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线槽，绝缘电胶，自控螺丝等各种五金配件及辅材；</w:t>
            </w:r>
          </w:p>
          <w:p>
            <w:pPr>
              <w:keepNext w:val="0"/>
              <w:keepLines w:val="0"/>
              <w:widowControl/>
              <w:numPr>
                <w:ilvl w:val="0"/>
                <w:numId w:val="23"/>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零星工程所用到的其他辅材。</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r>
    </w:tbl>
    <w:p>
      <w:pPr>
        <w:numPr>
          <w:ilvl w:val="0"/>
          <w:numId w:val="24"/>
        </w:numPr>
        <w:spacing w:line="360" w:lineRule="auto"/>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货物询价说明</w:t>
      </w:r>
    </w:p>
    <w:p>
      <w:pPr>
        <w:spacing w:line="360" w:lineRule="auto"/>
        <w:ind w:right="12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2.1本项目采购人将委托代理机构向市场进行询价（至少3家），供应商须在在2023年7月18日17:00前按照“第二章 响应文件格式”将材料采用扫描件方式发送至</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"mailto:jxzxqy2019@163.com"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jxrcja2022@sina.com</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电子邮箱。</w:t>
      </w:r>
    </w:p>
    <w:p>
      <w:pPr>
        <w:spacing w:line="360" w:lineRule="auto"/>
        <w:ind w:right="12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2.2采购人将所有响应供货商的价格进行对比，所投价格最低的作为本项目送审预算金额。</w:t>
      </w:r>
      <w:bookmarkStart w:id="1" w:name="_GoBack"/>
      <w:bookmarkEnd w:id="1"/>
    </w:p>
    <w:p>
      <w:p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3、联系方式：</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采购单位：</w:t>
      </w:r>
      <w:r>
        <w:rPr>
          <w:rFonts w:hint="eastAsia" w:ascii="宋体" w:hAnsi="宋体" w:eastAsia="宋体" w:cs="宋体"/>
          <w:sz w:val="24"/>
          <w:szCs w:val="24"/>
          <w:lang w:eastAsia="zh-CN"/>
        </w:rPr>
        <w:t>吉安市第十二中学</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采购单位地址：吉安市吉州区长塘镇庙背村</w:t>
      </w:r>
    </w:p>
    <w:p>
      <w:pPr>
        <w:spacing w:line="360" w:lineRule="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采购单位联系人及联系电话：</w:t>
      </w:r>
      <w:r>
        <w:rPr>
          <w:rFonts w:hint="eastAsia" w:ascii="宋体" w:hAnsi="宋体" w:eastAsia="宋体" w:cs="宋体"/>
          <w:sz w:val="24"/>
          <w:szCs w:val="24"/>
          <w:highlight w:val="none"/>
          <w:lang w:eastAsia="zh-CN"/>
        </w:rPr>
        <w:t>朱先生</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15979665516</w:t>
      </w:r>
    </w:p>
    <w:p>
      <w:pPr>
        <w:numPr>
          <w:ilvl w:val="0"/>
          <w:numId w:val="25"/>
        </w:numPr>
        <w:spacing w:line="360" w:lineRule="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采购代理机构：</w:t>
      </w:r>
      <w:r>
        <w:rPr>
          <w:rFonts w:hint="eastAsia" w:ascii="宋体" w:hAnsi="宋体" w:eastAsia="宋体" w:cs="宋体"/>
          <w:sz w:val="24"/>
          <w:szCs w:val="24"/>
          <w:lang w:eastAsia="zh-CN"/>
        </w:rPr>
        <w:t>江西睿创工程咨询监理有限公司</w:t>
      </w:r>
    </w:p>
    <w:p>
      <w:pPr>
        <w:numPr>
          <w:ilvl w:val="0"/>
          <w:numId w:val="25"/>
        </w:num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采购代理机构地址：井冈山大道201号四楼408室</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采购代理机构联系人及联系电话：钟女士   0796-8239785</w:t>
      </w:r>
    </w:p>
    <w:p>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电子邮箱：</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"mailto:jxzxqy2019@163.com"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jxrcja2022@sina.com</w:t>
      </w:r>
      <w:r>
        <w:rPr>
          <w:rFonts w:hint="eastAsia" w:ascii="宋体" w:hAnsi="宋体" w:eastAsia="宋体" w:cs="宋体"/>
          <w:sz w:val="24"/>
          <w:szCs w:val="24"/>
          <w:lang w:val="en-US" w:eastAsia="zh-CN"/>
        </w:rPr>
        <w:fldChar w:fldCharType="end"/>
      </w:r>
    </w:p>
    <w:p>
      <w:pPr>
        <w:pStyle w:val="11"/>
        <w:numPr>
          <w:ilvl w:val="0"/>
          <w:numId w:val="1"/>
        </w:numPr>
        <w:ind w:firstLineChars="0"/>
        <w:rPr>
          <w:rFonts w:hint="eastAsia" w:ascii="宋体" w:hAnsi="宋体" w:eastAsia="宋体" w:cs="宋体"/>
        </w:rPr>
        <w:sectPr>
          <w:footerReference r:id="rId3" w:type="default"/>
          <w:pgSz w:w="12240" w:h="15840"/>
          <w:pgMar w:top="1440" w:right="1800" w:bottom="1440" w:left="1800" w:header="720" w:footer="720" w:gutter="0"/>
          <w:cols w:space="720" w:num="1"/>
        </w:sectPr>
      </w:pPr>
    </w:p>
    <w:p>
      <w:pPr>
        <w:pStyle w:val="11"/>
        <w:ind w:left="0" w:leftChars="0" w:firstLine="0" w:firstLineChars="0"/>
        <w:jc w:val="center"/>
        <w:rPr>
          <w:rFonts w:hint="eastAsia" w:ascii="宋体" w:hAnsi="宋体" w:eastAsia="宋体" w:cs="宋体"/>
          <w:b/>
          <w:sz w:val="40"/>
          <w:szCs w:val="44"/>
          <w:lang w:val="en-US" w:eastAsia="zh-CN"/>
        </w:rPr>
      </w:pPr>
      <w:r>
        <w:rPr>
          <w:rFonts w:hint="eastAsia" w:ascii="宋体" w:hAnsi="宋体" w:eastAsia="宋体" w:cs="宋体"/>
          <w:b/>
          <w:sz w:val="40"/>
          <w:szCs w:val="44"/>
          <w:lang w:val="en-US" w:eastAsia="zh-CN"/>
        </w:rPr>
        <w:t>第二章  响应文件格式</w:t>
      </w:r>
    </w:p>
    <w:p>
      <w:pPr>
        <w:spacing w:before="43"/>
        <w:ind w:left="649" w:right="0" w:firstLine="0"/>
        <w:jc w:val="center"/>
        <w:rPr>
          <w:rFonts w:hint="eastAsia" w:ascii="宋体" w:hAnsi="宋体" w:eastAsia="宋体" w:cs="宋体"/>
          <w:b/>
          <w:sz w:val="28"/>
          <w:szCs w:val="28"/>
          <w:lang w:val="en-US" w:eastAsia="zh-CN"/>
        </w:rPr>
      </w:pPr>
    </w:p>
    <w:p>
      <w:pPr>
        <w:spacing w:before="43"/>
        <w:ind w:left="649" w:right="0" w:firstLine="0"/>
        <w:jc w:val="center"/>
        <w:rPr>
          <w:rFonts w:hint="eastAsia" w:ascii="宋体" w:hAnsi="宋体" w:eastAsia="宋体" w:cs="宋体"/>
          <w:b/>
          <w:sz w:val="28"/>
          <w:szCs w:val="28"/>
          <w:lang w:val="en-US" w:eastAsia="zh-CN"/>
        </w:rPr>
      </w:pPr>
    </w:p>
    <w:p>
      <w:pPr>
        <w:spacing w:before="43"/>
        <w:ind w:left="649" w:right="0" w:firstLine="0"/>
        <w:jc w:val="center"/>
        <w:rPr>
          <w:rFonts w:hint="eastAsia" w:ascii="宋体" w:hAnsi="宋体" w:eastAsia="宋体" w:cs="宋体"/>
          <w:b/>
          <w:sz w:val="28"/>
          <w:szCs w:val="28"/>
          <w:lang w:val="en-US" w:eastAsia="zh-CN"/>
        </w:rPr>
      </w:pPr>
    </w:p>
    <w:p>
      <w:pPr>
        <w:spacing w:before="43"/>
        <w:ind w:right="0"/>
        <w:jc w:val="both"/>
        <w:rPr>
          <w:rFonts w:hint="eastAsia" w:ascii="宋体" w:hAnsi="宋体" w:eastAsia="宋体" w:cs="宋体"/>
          <w:b/>
          <w:sz w:val="28"/>
          <w:szCs w:val="28"/>
          <w:lang w:val="en-US" w:eastAsia="zh-CN"/>
        </w:rPr>
      </w:pPr>
    </w:p>
    <w:p>
      <w:pPr>
        <w:spacing w:before="43"/>
        <w:ind w:right="0"/>
        <w:jc w:val="cente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1、营业执照副本（</w:t>
      </w:r>
      <w:r>
        <w:rPr>
          <w:rFonts w:hint="eastAsia" w:ascii="宋体" w:hAnsi="宋体" w:eastAsia="宋体" w:cs="宋体"/>
          <w:b/>
          <w:sz w:val="28"/>
          <w:szCs w:val="28"/>
          <w:u w:val="none"/>
          <w:lang w:val="en-US" w:eastAsia="zh-CN"/>
        </w:rPr>
        <w:t>复印件加盖公章）</w:t>
      </w:r>
    </w:p>
    <w:p>
      <w:pPr>
        <w:spacing w:before="43"/>
        <w:ind w:left="649" w:right="0" w:firstLine="0"/>
        <w:jc w:val="center"/>
        <w:rPr>
          <w:rFonts w:hint="eastAsia" w:ascii="宋体" w:hAnsi="宋体" w:eastAsia="宋体" w:cs="宋体"/>
          <w:b/>
          <w:sz w:val="28"/>
          <w:szCs w:val="28"/>
          <w:u w:val="single"/>
          <w:lang w:val="en-US" w:eastAsia="zh-CN"/>
        </w:rPr>
      </w:pPr>
    </w:p>
    <w:p>
      <w:pPr>
        <w:spacing w:before="43"/>
        <w:ind w:left="649" w:right="0" w:firstLine="0"/>
        <w:jc w:val="center"/>
        <w:rPr>
          <w:rFonts w:hint="eastAsia" w:ascii="宋体" w:hAnsi="宋体" w:eastAsia="宋体" w:cs="宋体"/>
          <w:b/>
          <w:sz w:val="28"/>
          <w:szCs w:val="28"/>
        </w:rPr>
      </w:pPr>
    </w:p>
    <w:p>
      <w:pPr>
        <w:spacing w:before="43"/>
        <w:ind w:left="649" w:right="0" w:firstLine="0"/>
        <w:jc w:val="center"/>
        <w:rPr>
          <w:rFonts w:hint="eastAsia" w:ascii="宋体" w:hAnsi="宋体" w:eastAsia="宋体" w:cs="宋体"/>
          <w:b/>
          <w:sz w:val="28"/>
          <w:szCs w:val="28"/>
        </w:rPr>
      </w:pPr>
    </w:p>
    <w:p>
      <w:pPr>
        <w:spacing w:before="43"/>
        <w:ind w:left="649" w:right="0" w:firstLine="0"/>
        <w:jc w:val="center"/>
        <w:rPr>
          <w:rFonts w:hint="eastAsia" w:ascii="宋体" w:hAnsi="宋体" w:eastAsia="宋体" w:cs="宋体"/>
          <w:b/>
          <w:sz w:val="28"/>
          <w:szCs w:val="28"/>
        </w:rPr>
      </w:pPr>
    </w:p>
    <w:p>
      <w:pPr>
        <w:spacing w:before="43"/>
        <w:ind w:left="649" w:right="0" w:firstLine="0"/>
        <w:jc w:val="center"/>
        <w:rPr>
          <w:rFonts w:hint="eastAsia" w:ascii="宋体" w:hAnsi="宋体" w:eastAsia="宋体" w:cs="宋体"/>
          <w:b/>
          <w:sz w:val="28"/>
          <w:szCs w:val="28"/>
        </w:rPr>
      </w:pPr>
    </w:p>
    <w:p>
      <w:pPr>
        <w:spacing w:before="43"/>
        <w:ind w:left="649" w:right="0" w:firstLine="0"/>
        <w:jc w:val="center"/>
        <w:rPr>
          <w:rFonts w:hint="eastAsia" w:ascii="宋体" w:hAnsi="宋体" w:eastAsia="宋体" w:cs="宋体"/>
          <w:b/>
          <w:sz w:val="28"/>
          <w:szCs w:val="28"/>
        </w:rPr>
      </w:pPr>
    </w:p>
    <w:p>
      <w:pPr>
        <w:spacing w:before="43"/>
        <w:ind w:left="649" w:right="0" w:firstLine="0"/>
        <w:jc w:val="center"/>
        <w:rPr>
          <w:rFonts w:hint="eastAsia" w:ascii="宋体" w:hAnsi="宋体" w:eastAsia="宋体" w:cs="宋体"/>
          <w:b/>
          <w:sz w:val="28"/>
          <w:szCs w:val="28"/>
        </w:rPr>
      </w:pPr>
    </w:p>
    <w:p>
      <w:pPr>
        <w:spacing w:before="43"/>
        <w:ind w:right="0"/>
        <w:jc w:val="center"/>
        <w:rPr>
          <w:rFonts w:hint="eastAsia" w:ascii="宋体" w:hAnsi="宋体" w:eastAsia="宋体" w:cs="宋体"/>
          <w:b/>
          <w:sz w:val="28"/>
          <w:szCs w:val="28"/>
        </w:rPr>
      </w:pPr>
      <w:r>
        <w:rPr>
          <w:rFonts w:hint="eastAsia" w:ascii="宋体" w:hAnsi="宋体" w:eastAsia="宋体" w:cs="宋体"/>
          <w:b/>
          <w:sz w:val="28"/>
          <w:szCs w:val="28"/>
          <w:lang w:val="en-US" w:eastAsia="zh-CN"/>
        </w:rPr>
        <w:t>2、</w:t>
      </w:r>
      <w:r>
        <w:rPr>
          <w:rFonts w:hint="eastAsia" w:ascii="宋体" w:hAnsi="宋体" w:eastAsia="宋体" w:cs="宋体"/>
          <w:b/>
          <w:sz w:val="28"/>
          <w:szCs w:val="28"/>
        </w:rPr>
        <w:t>报价表</w:t>
      </w:r>
    </w:p>
    <w:p>
      <w:pPr>
        <w:pStyle w:val="3"/>
        <w:spacing w:line="297" w:lineRule="auto"/>
        <w:ind w:right="4305"/>
        <w:jc w:val="left"/>
        <w:rPr>
          <w:rFonts w:hint="eastAsia" w:ascii="宋体" w:hAnsi="宋体" w:eastAsia="宋体" w:cs="宋体"/>
        </w:rPr>
      </w:pPr>
    </w:p>
    <w:p>
      <w:pPr>
        <w:pStyle w:val="3"/>
        <w:keepNext w:val="0"/>
        <w:keepLines w:val="0"/>
        <w:pageBreakBefore w:val="0"/>
        <w:widowControl w:val="0"/>
        <w:kinsoku/>
        <w:wordWrap/>
        <w:overflowPunct/>
        <w:topLinePunct w:val="0"/>
        <w:autoSpaceDE/>
        <w:autoSpaceDN/>
        <w:bidi w:val="0"/>
        <w:adjustRightInd/>
        <w:snapToGrid/>
        <w:spacing w:line="298" w:lineRule="auto"/>
        <w:ind w:left="1120" w:right="0" w:hanging="1120" w:hangingChars="400"/>
        <w:jc w:val="left"/>
        <w:textAlignment w:val="auto"/>
        <w:rPr>
          <w:rFonts w:hint="eastAsia" w:ascii="宋体" w:hAnsi="宋体" w:eastAsia="宋体" w:cs="宋体"/>
          <w:sz w:val="28"/>
          <w:szCs w:val="32"/>
          <w:lang w:val="en-US" w:eastAsia="zh-CN"/>
        </w:rPr>
      </w:pPr>
      <w:r>
        <w:rPr>
          <w:rFonts w:hint="eastAsia" w:ascii="宋体" w:hAnsi="宋体" w:eastAsia="宋体" w:cs="宋体"/>
          <w:sz w:val="28"/>
          <w:szCs w:val="32"/>
          <w:lang w:val="en-US" w:eastAsia="zh-CN"/>
        </w:rPr>
        <w:t>项目名称：吉安十二中(扶园职高）“云机房”建设工程</w:t>
      </w:r>
    </w:p>
    <w:tbl>
      <w:tblPr>
        <w:tblStyle w:val="7"/>
        <w:tblW w:w="95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4"/>
        <w:gridCol w:w="1903"/>
        <w:gridCol w:w="938"/>
        <w:gridCol w:w="1200"/>
        <w:gridCol w:w="1453"/>
        <w:gridCol w:w="1744"/>
        <w:gridCol w:w="1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货物名称</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品牌型号</w:t>
            </w: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单价（元）</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955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一、“云机房”设备+电脑桌椅建设清单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讲台</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教师椅</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教学一体机设备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教学一体机黑板</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1"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高清展台</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机房音箱</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只</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音箱功放</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一拖二无线头戴式话筒</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电源时序器</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音箱线</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学生双人电脑桌</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8"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电脑凳</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服务器</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教师云终端</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学生云终端</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软件</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显示器</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键盘、鼠标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9"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企业级路由器（千兆）</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1"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核心交换机（千兆）</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3"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汇聚层交换机        （千兆）</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网络机柜</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立式空调</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网络线</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电源排插</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辅材及配件</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人工费</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点位</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955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二、“云机房”装修零星工程清单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原有教室物品及水泥站台搬运和垃圾清除</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防静电地板铺设</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木质踢脚线</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9"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立面块料拆除</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墙面批灰刮白</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247.8</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更换铝合金窗</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18.56</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更换不锈钢防盗网</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18.56</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防盗门</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樘</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窗帘</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平板灯</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配电箱</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控制开关</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控制开关</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9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辅材及配件</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批</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pPr>
        <w:pStyle w:val="3"/>
        <w:spacing w:before="157"/>
        <w:ind w:left="878"/>
        <w:rPr>
          <w:rFonts w:hint="eastAsia" w:ascii="宋体" w:hAnsi="宋体" w:eastAsia="宋体" w:cs="宋体"/>
        </w:rPr>
      </w:pPr>
    </w:p>
    <w:p>
      <w:pPr>
        <w:pStyle w:val="3"/>
        <w:spacing w:before="157"/>
        <w:rPr>
          <w:rFonts w:hint="eastAsia" w:ascii="宋体" w:hAnsi="宋体" w:eastAsia="宋体" w:cs="宋体"/>
          <w:sz w:val="24"/>
          <w:szCs w:val="28"/>
        </w:rPr>
      </w:pPr>
      <w:r>
        <w:rPr>
          <w:rFonts w:hint="eastAsia" w:ascii="宋体" w:hAnsi="宋体" w:eastAsia="宋体" w:cs="宋体"/>
          <w:sz w:val="24"/>
          <w:szCs w:val="28"/>
          <w:lang w:val="en-US" w:eastAsia="zh-CN"/>
        </w:rPr>
        <w:t>报价</w:t>
      </w:r>
      <w:r>
        <w:rPr>
          <w:rFonts w:hint="eastAsia" w:ascii="宋体" w:hAnsi="宋体" w:eastAsia="宋体" w:cs="宋体"/>
          <w:sz w:val="24"/>
          <w:szCs w:val="28"/>
        </w:rPr>
        <w:t>单位：（盖章）</w:t>
      </w:r>
    </w:p>
    <w:p>
      <w:pPr>
        <w:pStyle w:val="3"/>
        <w:spacing w:before="4"/>
        <w:rPr>
          <w:rFonts w:hint="eastAsia" w:ascii="宋体" w:hAnsi="宋体" w:eastAsia="宋体" w:cs="宋体"/>
          <w:sz w:val="40"/>
          <w:szCs w:val="28"/>
        </w:rPr>
      </w:pPr>
    </w:p>
    <w:p>
      <w:pPr>
        <w:pStyle w:val="3"/>
        <w:rPr>
          <w:rFonts w:hint="eastAsia" w:ascii="宋体" w:hAnsi="宋体" w:eastAsia="宋体" w:cs="宋体"/>
          <w:sz w:val="24"/>
          <w:szCs w:val="28"/>
        </w:rPr>
      </w:pPr>
      <w:r>
        <w:rPr>
          <w:rFonts w:hint="eastAsia" w:ascii="宋体" w:hAnsi="宋体" w:eastAsia="宋体" w:cs="宋体"/>
          <w:sz w:val="24"/>
          <w:szCs w:val="28"/>
        </w:rPr>
        <w:t>法定代表人或被授权代表：（签字</w:t>
      </w:r>
      <w:r>
        <w:rPr>
          <w:rFonts w:hint="eastAsia" w:ascii="宋体" w:hAnsi="宋体" w:eastAsia="宋体" w:cs="宋体"/>
          <w:sz w:val="24"/>
          <w:szCs w:val="28"/>
          <w:lang w:val="en-US" w:eastAsia="zh-CN"/>
        </w:rPr>
        <w:t>或盖章</w:t>
      </w:r>
      <w:r>
        <w:rPr>
          <w:rFonts w:hint="eastAsia" w:ascii="宋体" w:hAnsi="宋体" w:eastAsia="宋体" w:cs="宋体"/>
          <w:sz w:val="24"/>
          <w:szCs w:val="28"/>
        </w:rPr>
        <w:t>）</w:t>
      </w:r>
    </w:p>
    <w:p>
      <w:pPr>
        <w:pStyle w:val="3"/>
        <w:rPr>
          <w:rFonts w:hint="eastAsia" w:ascii="宋体" w:hAnsi="宋体" w:eastAsia="宋体" w:cs="宋体"/>
        </w:rPr>
      </w:pPr>
    </w:p>
    <w:p>
      <w:pPr>
        <w:pStyle w:val="3"/>
        <w:rPr>
          <w:rFonts w:hint="eastAsia" w:ascii="宋体" w:hAnsi="宋体" w:eastAsia="宋体" w:cs="宋体"/>
        </w:rPr>
      </w:pPr>
    </w:p>
    <w:p>
      <w:pPr>
        <w:pStyle w:val="11"/>
        <w:ind w:left="1200" w:firstLine="0" w:firstLineChars="0"/>
        <w:rPr>
          <w:rFonts w:hint="eastAsia" w:ascii="宋体" w:hAnsi="宋体" w:eastAsia="宋体" w:cs="宋体"/>
          <w:b/>
          <w:sz w:val="40"/>
          <w:szCs w:val="44"/>
          <w:lang w:val="en-US" w:eastAsia="zh-CN"/>
        </w:rPr>
      </w:pPr>
    </w:p>
    <w:p>
      <w:pPr>
        <w:pStyle w:val="11"/>
        <w:ind w:left="1200" w:firstLine="0" w:firstLineChars="0"/>
        <w:rPr>
          <w:rFonts w:hint="eastAsia" w:ascii="宋体" w:hAnsi="宋体" w:eastAsia="宋体" w:cs="宋体"/>
          <w:b/>
          <w:sz w:val="40"/>
          <w:szCs w:val="44"/>
          <w:lang w:val="en-US" w:eastAsia="zh-CN"/>
        </w:rPr>
      </w:pPr>
    </w:p>
    <w:p>
      <w:pPr>
        <w:tabs>
          <w:tab w:val="left" w:pos="6440"/>
          <w:tab w:val="left" w:pos="7400"/>
          <w:tab w:val="left" w:pos="8360"/>
          <w:tab w:val="left" w:pos="9200"/>
        </w:tabs>
        <w:spacing w:line="274" w:lineRule="exact"/>
        <w:ind w:left="5740"/>
        <w:jc w:val="right"/>
        <w:rPr>
          <w:rFonts w:hint="eastAsia" w:ascii="宋体" w:hAnsi="宋体" w:eastAsia="宋体" w:cs="宋体"/>
          <w:sz w:val="20"/>
          <w:szCs w:val="20"/>
        </w:rPr>
      </w:pPr>
      <w:r>
        <w:rPr>
          <w:rFonts w:hint="eastAsia" w:ascii="宋体" w:hAnsi="宋体" w:eastAsia="宋体" w:cs="宋体"/>
          <w:sz w:val="24"/>
        </w:rPr>
        <w:t>日期：</w:t>
      </w:r>
      <w:r>
        <w:rPr>
          <w:rFonts w:hint="eastAsia" w:ascii="宋体" w:hAnsi="宋体" w:eastAsia="宋体" w:cs="宋体"/>
          <w:sz w:val="24"/>
          <w:lang w:val="en-US" w:eastAsia="zh-CN"/>
        </w:rPr>
        <w:t xml:space="preserve">   </w:t>
      </w:r>
      <w:r>
        <w:rPr>
          <w:rFonts w:hint="eastAsia" w:ascii="宋体" w:hAnsi="宋体" w:eastAsia="宋体" w:cs="宋体"/>
          <w:sz w:val="24"/>
        </w:rPr>
        <w:t>年</w:t>
      </w:r>
      <w:r>
        <w:rPr>
          <w:rFonts w:hint="eastAsia" w:ascii="宋体" w:hAnsi="宋体" w:eastAsia="宋体" w:cs="宋体"/>
          <w:sz w:val="20"/>
          <w:szCs w:val="20"/>
        </w:rPr>
        <w:tab/>
      </w:r>
      <w:r>
        <w:rPr>
          <w:rFonts w:hint="eastAsia" w:ascii="宋体" w:hAnsi="宋体" w:eastAsia="宋体" w:cs="宋体"/>
          <w:sz w:val="24"/>
        </w:rPr>
        <w:t>月</w:t>
      </w:r>
      <w:r>
        <w:rPr>
          <w:rFonts w:hint="eastAsia" w:ascii="宋体" w:hAnsi="宋体" w:eastAsia="宋体" w:cs="宋体"/>
          <w:sz w:val="24"/>
          <w:lang w:val="en-US" w:eastAsia="zh-CN"/>
        </w:rPr>
        <w:t xml:space="preserve">  </w:t>
      </w:r>
      <w:r>
        <w:rPr>
          <w:rFonts w:hint="eastAsia" w:ascii="宋体" w:hAnsi="宋体" w:eastAsia="宋体" w:cs="宋体"/>
          <w:sz w:val="24"/>
        </w:rPr>
        <w:t>日</w:t>
      </w:r>
    </w:p>
    <w:p>
      <w:pPr>
        <w:jc w:val="right"/>
        <w:rPr>
          <w:rFonts w:hint="eastAsia" w:ascii="宋体" w:hAnsi="宋体" w:eastAsia="宋体" w:cs="宋体"/>
        </w:rPr>
        <w:sectPr>
          <w:pgSz w:w="11900" w:h="16838"/>
          <w:pgMar w:top="1399" w:right="1106" w:bottom="649" w:left="1220" w:header="567" w:footer="454" w:gutter="0"/>
          <w:cols w:space="720" w:num="1"/>
        </w:sectPr>
      </w:pPr>
    </w:p>
    <w:p>
      <w:pPr>
        <w:pStyle w:val="2"/>
        <w:spacing w:line="360" w:lineRule="auto"/>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3、承诺函</w:t>
      </w:r>
    </w:p>
    <w:p>
      <w:pPr>
        <w:pStyle w:val="11"/>
        <w:ind w:left="0" w:leftChars="0" w:firstLine="0" w:firstLineChars="0"/>
        <w:jc w:val="center"/>
        <w:rPr>
          <w:rFonts w:hint="eastAsia" w:ascii="宋体" w:hAnsi="宋体" w:eastAsia="宋体" w:cs="宋体"/>
          <w:b/>
          <w:sz w:val="40"/>
          <w:szCs w:val="44"/>
          <w:lang w:val="en-US" w:eastAsia="zh-CN"/>
        </w:rPr>
      </w:pPr>
    </w:p>
    <w:p>
      <w:pPr>
        <w:pStyle w:val="3"/>
        <w:spacing w:line="297" w:lineRule="auto"/>
        <w:ind w:right="4305"/>
        <w:jc w:val="left"/>
        <w:rPr>
          <w:rFonts w:hint="eastAsia" w:ascii="宋体" w:hAnsi="宋体" w:eastAsia="宋体" w:cs="宋体"/>
          <w:sz w:val="28"/>
          <w:szCs w:val="32"/>
          <w:lang w:val="en-US" w:eastAsia="zh-CN"/>
        </w:rPr>
      </w:pPr>
      <w:r>
        <w:rPr>
          <w:rFonts w:hint="eastAsia" w:ascii="宋体" w:hAnsi="宋体" w:eastAsia="宋体" w:cs="宋体"/>
          <w:sz w:val="28"/>
          <w:szCs w:val="32"/>
          <w:lang w:val="en-US" w:eastAsia="zh-CN"/>
        </w:rPr>
        <w:t>致：吉安市第十二中学</w:t>
      </w:r>
    </w:p>
    <w:p>
      <w:pPr>
        <w:pStyle w:val="3"/>
        <w:spacing w:line="297" w:lineRule="auto"/>
        <w:ind w:right="4305"/>
        <w:jc w:val="left"/>
        <w:rPr>
          <w:rFonts w:hint="eastAsia" w:ascii="宋体" w:hAnsi="宋体" w:eastAsia="宋体" w:cs="宋体"/>
          <w:sz w:val="28"/>
          <w:szCs w:val="32"/>
          <w:lang w:val="en-US" w:eastAsia="zh-CN"/>
        </w:rPr>
      </w:pPr>
      <w:r>
        <w:rPr>
          <w:rFonts w:hint="eastAsia" w:ascii="宋体" w:hAnsi="宋体" w:eastAsia="宋体" w:cs="宋体"/>
          <w:sz w:val="28"/>
          <w:szCs w:val="32"/>
          <w:lang w:val="en-US" w:eastAsia="zh-CN"/>
        </w:rPr>
        <w:t xml:space="preserve">    </w:t>
      </w:r>
    </w:p>
    <w:p>
      <w:pPr>
        <w:spacing w:line="411" w:lineRule="exact"/>
        <w:ind w:firstLine="480"/>
        <w:rPr>
          <w:rFonts w:hint="eastAsia" w:ascii="宋体" w:hAnsi="宋体" w:eastAsia="宋体" w:cs="宋体"/>
          <w:sz w:val="20"/>
          <w:szCs w:val="20"/>
        </w:rPr>
      </w:pPr>
      <w:r>
        <w:rPr>
          <w:rFonts w:hint="eastAsia" w:ascii="宋体" w:hAnsi="宋体" w:eastAsia="宋体" w:cs="宋体"/>
          <w:sz w:val="28"/>
          <w:szCs w:val="32"/>
          <w:lang w:val="en-US" w:eastAsia="zh-CN"/>
        </w:rPr>
        <w:t xml:space="preserve"> </w:t>
      </w:r>
      <w:r>
        <w:rPr>
          <w:rFonts w:hint="eastAsia" w:ascii="宋体" w:hAnsi="宋体" w:eastAsia="宋体" w:cs="宋体"/>
          <w:sz w:val="24"/>
          <w:lang w:val="en-US" w:eastAsia="zh-CN"/>
        </w:rPr>
        <w:t>我</w:t>
      </w:r>
      <w:r>
        <w:rPr>
          <w:rFonts w:hint="eastAsia" w:ascii="宋体" w:hAnsi="宋体" w:eastAsia="宋体" w:cs="宋体"/>
          <w:sz w:val="24"/>
        </w:rPr>
        <w:t>公司</w:t>
      </w:r>
      <w:r>
        <w:rPr>
          <w:rFonts w:hint="eastAsia" w:ascii="宋体" w:hAnsi="宋体" w:eastAsia="宋体" w:cs="宋体"/>
          <w:sz w:val="24"/>
          <w:lang w:val="en-US" w:eastAsia="zh-CN"/>
        </w:rPr>
        <w:t>郑重承诺，完全响应询价函文件中的所有条款，包括需求及商务条款。</w:t>
      </w:r>
      <w:r>
        <w:rPr>
          <w:rFonts w:hint="eastAsia" w:ascii="宋体" w:hAnsi="宋体" w:eastAsia="宋体" w:cs="宋体"/>
          <w:sz w:val="24"/>
        </w:rPr>
        <w:t>且我公司所提交的一切资料和数据，保证是真实的。本公司了解，虚假</w:t>
      </w:r>
      <w:r>
        <w:rPr>
          <w:rFonts w:hint="eastAsia" w:ascii="宋体" w:hAnsi="宋体" w:eastAsia="宋体" w:cs="宋体"/>
          <w:sz w:val="24"/>
          <w:lang w:val="en-US" w:eastAsia="zh-CN"/>
        </w:rPr>
        <w:t>承诺</w:t>
      </w:r>
      <w:r>
        <w:rPr>
          <w:rFonts w:hint="eastAsia" w:ascii="宋体" w:hAnsi="宋体" w:eastAsia="宋体" w:cs="宋体"/>
          <w:sz w:val="24"/>
        </w:rPr>
        <w:t>是严重的违法行为。本</w:t>
      </w:r>
      <w:r>
        <w:rPr>
          <w:rFonts w:hint="eastAsia" w:ascii="宋体" w:hAnsi="宋体" w:eastAsia="宋体" w:cs="宋体"/>
          <w:sz w:val="24"/>
          <w:lang w:val="en-US" w:eastAsia="zh-CN"/>
        </w:rPr>
        <w:t>承诺</w:t>
      </w:r>
      <w:r>
        <w:rPr>
          <w:rFonts w:hint="eastAsia" w:ascii="宋体" w:hAnsi="宋体" w:eastAsia="宋体" w:cs="宋体"/>
          <w:sz w:val="24"/>
        </w:rPr>
        <w:t>如有虚假，本公司愿意接受有关法律、法规和规章给予的处</w:t>
      </w:r>
      <w:bookmarkStart w:id="0" w:name="_Toc1742_WPSOffice_Level1"/>
      <w:r>
        <w:rPr>
          <w:rFonts w:hint="eastAsia" w:ascii="宋体" w:hAnsi="宋体" w:eastAsia="宋体" w:cs="宋体"/>
          <w:sz w:val="24"/>
        </w:rPr>
        <w:t>罚，并自愿承担被取</w:t>
      </w:r>
      <w:bookmarkEnd w:id="0"/>
      <w:r>
        <w:rPr>
          <w:rFonts w:hint="eastAsia" w:ascii="宋体" w:hAnsi="宋体" w:eastAsia="宋体" w:cs="宋体"/>
          <w:sz w:val="24"/>
        </w:rPr>
        <w:t>消成交资格、解除合同以及赔偿本项目采购人、采购代理损失的后果。</w:t>
      </w:r>
    </w:p>
    <w:p>
      <w:pPr>
        <w:spacing w:line="200" w:lineRule="exact"/>
        <w:rPr>
          <w:rFonts w:hint="eastAsia" w:ascii="宋体" w:hAnsi="宋体" w:eastAsia="宋体" w:cs="宋体"/>
          <w:sz w:val="20"/>
          <w:szCs w:val="20"/>
        </w:rPr>
      </w:pPr>
    </w:p>
    <w:p>
      <w:pPr>
        <w:spacing w:line="277" w:lineRule="exact"/>
        <w:rPr>
          <w:rFonts w:hint="eastAsia" w:ascii="宋体" w:hAnsi="宋体" w:eastAsia="宋体" w:cs="宋体"/>
          <w:sz w:val="20"/>
          <w:szCs w:val="20"/>
        </w:rPr>
      </w:pPr>
    </w:p>
    <w:p>
      <w:pPr>
        <w:spacing w:line="274" w:lineRule="exact"/>
        <w:ind w:left="480"/>
        <w:rPr>
          <w:rFonts w:hint="eastAsia" w:ascii="宋体" w:hAnsi="宋体" w:eastAsia="宋体" w:cs="宋体"/>
          <w:sz w:val="20"/>
          <w:szCs w:val="20"/>
        </w:rPr>
      </w:pPr>
      <w:r>
        <w:rPr>
          <w:rFonts w:hint="eastAsia" w:ascii="宋体" w:hAnsi="宋体" w:eastAsia="宋体" w:cs="宋体"/>
          <w:sz w:val="24"/>
        </w:rPr>
        <w:t>特此</w:t>
      </w:r>
      <w:r>
        <w:rPr>
          <w:rFonts w:hint="eastAsia" w:ascii="宋体" w:hAnsi="宋体" w:eastAsia="宋体" w:cs="宋体"/>
          <w:sz w:val="24"/>
          <w:lang w:val="en-US" w:eastAsia="zh-CN"/>
        </w:rPr>
        <w:t>承诺</w:t>
      </w:r>
    </w:p>
    <w:p>
      <w:pPr>
        <w:spacing w:line="200" w:lineRule="exact"/>
        <w:rPr>
          <w:rFonts w:hint="eastAsia" w:ascii="宋体" w:hAnsi="宋体" w:eastAsia="宋体" w:cs="宋体"/>
          <w:sz w:val="20"/>
          <w:szCs w:val="20"/>
        </w:rPr>
      </w:pPr>
    </w:p>
    <w:p>
      <w:pPr>
        <w:spacing w:line="200" w:lineRule="exact"/>
        <w:rPr>
          <w:rFonts w:hint="eastAsia" w:ascii="宋体" w:hAnsi="宋体" w:eastAsia="宋体" w:cs="宋体"/>
          <w:sz w:val="20"/>
          <w:szCs w:val="20"/>
        </w:rPr>
      </w:pPr>
    </w:p>
    <w:p>
      <w:pPr>
        <w:spacing w:line="200" w:lineRule="exact"/>
        <w:rPr>
          <w:rFonts w:hint="eastAsia" w:ascii="宋体" w:hAnsi="宋体" w:eastAsia="宋体" w:cs="宋体"/>
          <w:sz w:val="20"/>
          <w:szCs w:val="20"/>
        </w:rPr>
      </w:pPr>
    </w:p>
    <w:p>
      <w:pPr>
        <w:spacing w:line="200" w:lineRule="exact"/>
        <w:rPr>
          <w:rFonts w:hint="eastAsia" w:ascii="宋体" w:hAnsi="宋体" w:eastAsia="宋体" w:cs="宋体"/>
          <w:sz w:val="20"/>
          <w:szCs w:val="20"/>
        </w:rPr>
      </w:pPr>
    </w:p>
    <w:p>
      <w:pPr>
        <w:spacing w:line="200" w:lineRule="exact"/>
        <w:rPr>
          <w:rFonts w:hint="eastAsia" w:ascii="宋体" w:hAnsi="宋体" w:eastAsia="宋体" w:cs="宋体"/>
          <w:sz w:val="20"/>
          <w:szCs w:val="20"/>
        </w:rPr>
      </w:pPr>
    </w:p>
    <w:p>
      <w:pPr>
        <w:spacing w:line="269" w:lineRule="exact"/>
        <w:rPr>
          <w:rFonts w:hint="eastAsia" w:ascii="宋体" w:hAnsi="宋体" w:eastAsia="宋体" w:cs="宋体"/>
          <w:sz w:val="20"/>
          <w:szCs w:val="20"/>
        </w:rPr>
      </w:pPr>
    </w:p>
    <w:p>
      <w:pPr>
        <w:pStyle w:val="3"/>
        <w:spacing w:before="157"/>
        <w:rPr>
          <w:rFonts w:hint="eastAsia" w:ascii="宋体" w:hAnsi="宋体" w:eastAsia="宋体" w:cs="宋体"/>
          <w:sz w:val="24"/>
          <w:szCs w:val="28"/>
        </w:rPr>
      </w:pPr>
      <w:r>
        <w:rPr>
          <w:rFonts w:hint="eastAsia" w:ascii="宋体" w:hAnsi="宋体" w:eastAsia="宋体" w:cs="宋体"/>
          <w:sz w:val="24"/>
          <w:szCs w:val="28"/>
          <w:lang w:val="en-US" w:eastAsia="zh-CN"/>
        </w:rPr>
        <w:t>报价</w:t>
      </w:r>
      <w:r>
        <w:rPr>
          <w:rFonts w:hint="eastAsia" w:ascii="宋体" w:hAnsi="宋体" w:eastAsia="宋体" w:cs="宋体"/>
          <w:sz w:val="24"/>
          <w:szCs w:val="28"/>
        </w:rPr>
        <w:t>单位：（盖章）</w:t>
      </w:r>
    </w:p>
    <w:p>
      <w:pPr>
        <w:pStyle w:val="3"/>
        <w:spacing w:before="4"/>
        <w:rPr>
          <w:rFonts w:hint="eastAsia" w:ascii="宋体" w:hAnsi="宋体" w:eastAsia="宋体" w:cs="宋体"/>
          <w:sz w:val="40"/>
          <w:szCs w:val="28"/>
        </w:rPr>
      </w:pPr>
    </w:p>
    <w:p>
      <w:pPr>
        <w:pStyle w:val="3"/>
        <w:rPr>
          <w:rFonts w:hint="eastAsia" w:ascii="宋体" w:hAnsi="宋体" w:eastAsia="宋体" w:cs="宋体"/>
          <w:sz w:val="24"/>
          <w:szCs w:val="28"/>
        </w:rPr>
      </w:pPr>
      <w:r>
        <w:rPr>
          <w:rFonts w:hint="eastAsia" w:ascii="宋体" w:hAnsi="宋体" w:eastAsia="宋体" w:cs="宋体"/>
          <w:sz w:val="24"/>
          <w:szCs w:val="28"/>
        </w:rPr>
        <w:t>法定代表人或被授权代表：（签字</w:t>
      </w:r>
      <w:r>
        <w:rPr>
          <w:rFonts w:hint="eastAsia" w:ascii="宋体" w:hAnsi="宋体" w:eastAsia="宋体" w:cs="宋体"/>
          <w:sz w:val="24"/>
          <w:szCs w:val="28"/>
          <w:lang w:val="en-US" w:eastAsia="zh-CN"/>
        </w:rPr>
        <w:t>或盖章</w:t>
      </w:r>
      <w:r>
        <w:rPr>
          <w:rFonts w:hint="eastAsia" w:ascii="宋体" w:hAnsi="宋体" w:eastAsia="宋体" w:cs="宋体"/>
          <w:sz w:val="24"/>
          <w:szCs w:val="28"/>
        </w:rPr>
        <w:t>）</w:t>
      </w:r>
    </w:p>
    <w:p>
      <w:pPr>
        <w:pStyle w:val="3"/>
        <w:rPr>
          <w:rFonts w:hint="eastAsia" w:ascii="宋体" w:hAnsi="宋体" w:eastAsia="宋体" w:cs="宋体"/>
        </w:rPr>
      </w:pPr>
    </w:p>
    <w:p>
      <w:pPr>
        <w:spacing w:line="200" w:lineRule="exact"/>
        <w:rPr>
          <w:rFonts w:hint="eastAsia" w:ascii="宋体" w:hAnsi="宋体" w:eastAsia="宋体" w:cs="宋体"/>
          <w:sz w:val="20"/>
          <w:szCs w:val="20"/>
        </w:rPr>
      </w:pPr>
    </w:p>
    <w:p>
      <w:pPr>
        <w:spacing w:line="200" w:lineRule="exact"/>
        <w:rPr>
          <w:rFonts w:hint="eastAsia" w:ascii="宋体" w:hAnsi="宋体" w:eastAsia="宋体" w:cs="宋体"/>
          <w:sz w:val="20"/>
          <w:szCs w:val="20"/>
        </w:rPr>
      </w:pPr>
    </w:p>
    <w:p>
      <w:pPr>
        <w:spacing w:line="200" w:lineRule="exact"/>
        <w:rPr>
          <w:rFonts w:hint="eastAsia" w:ascii="宋体" w:hAnsi="宋体" w:eastAsia="宋体" w:cs="宋体"/>
          <w:sz w:val="20"/>
          <w:szCs w:val="20"/>
        </w:rPr>
      </w:pPr>
    </w:p>
    <w:p>
      <w:pPr>
        <w:spacing w:line="200" w:lineRule="exact"/>
        <w:rPr>
          <w:rFonts w:hint="eastAsia" w:ascii="宋体" w:hAnsi="宋体" w:eastAsia="宋体" w:cs="宋体"/>
          <w:sz w:val="20"/>
          <w:szCs w:val="20"/>
        </w:rPr>
      </w:pPr>
    </w:p>
    <w:p>
      <w:pPr>
        <w:spacing w:line="288" w:lineRule="exact"/>
        <w:rPr>
          <w:rFonts w:hint="eastAsia" w:ascii="宋体" w:hAnsi="宋体" w:eastAsia="宋体" w:cs="宋体"/>
          <w:sz w:val="20"/>
          <w:szCs w:val="20"/>
        </w:rPr>
      </w:pPr>
    </w:p>
    <w:p>
      <w:pPr>
        <w:tabs>
          <w:tab w:val="left" w:pos="6440"/>
          <w:tab w:val="left" w:pos="7400"/>
          <w:tab w:val="left" w:pos="8360"/>
          <w:tab w:val="left" w:pos="9200"/>
        </w:tabs>
        <w:spacing w:line="274" w:lineRule="exact"/>
        <w:ind w:left="5740"/>
        <w:jc w:val="right"/>
        <w:rPr>
          <w:rFonts w:hint="eastAsia" w:ascii="宋体" w:hAnsi="宋体" w:eastAsia="宋体" w:cs="宋体"/>
          <w:b/>
          <w:sz w:val="40"/>
          <w:szCs w:val="44"/>
          <w:lang w:val="en-US" w:eastAsia="zh-CN"/>
        </w:rPr>
      </w:pPr>
      <w:r>
        <w:rPr>
          <w:rFonts w:hint="eastAsia" w:ascii="宋体" w:hAnsi="宋体" w:eastAsia="宋体" w:cs="宋体"/>
          <w:sz w:val="24"/>
        </w:rPr>
        <w:t>日期：</w:t>
      </w:r>
      <w:r>
        <w:rPr>
          <w:rFonts w:hint="eastAsia" w:ascii="宋体" w:hAnsi="宋体" w:eastAsia="宋体" w:cs="宋体"/>
          <w:sz w:val="24"/>
          <w:lang w:val="en-US" w:eastAsia="zh-CN"/>
        </w:rPr>
        <w:t xml:space="preserve">   </w:t>
      </w:r>
      <w:r>
        <w:rPr>
          <w:rFonts w:hint="eastAsia" w:ascii="宋体" w:hAnsi="宋体" w:eastAsia="宋体" w:cs="宋体"/>
          <w:sz w:val="24"/>
        </w:rPr>
        <w:t>年</w:t>
      </w:r>
      <w:r>
        <w:rPr>
          <w:rFonts w:hint="eastAsia" w:ascii="宋体" w:hAnsi="宋体" w:eastAsia="宋体" w:cs="宋体"/>
          <w:sz w:val="20"/>
          <w:szCs w:val="20"/>
        </w:rPr>
        <w:tab/>
      </w:r>
      <w:r>
        <w:rPr>
          <w:rFonts w:hint="eastAsia" w:ascii="宋体" w:hAnsi="宋体" w:eastAsia="宋体" w:cs="宋体"/>
          <w:sz w:val="24"/>
        </w:rPr>
        <w:t>月</w:t>
      </w:r>
      <w:r>
        <w:rPr>
          <w:rFonts w:hint="eastAsia" w:ascii="宋体" w:hAnsi="宋体" w:eastAsia="宋体" w:cs="宋体"/>
          <w:sz w:val="24"/>
          <w:lang w:val="en-US" w:eastAsia="zh-CN"/>
        </w:rPr>
        <w:t xml:space="preserve">  </w:t>
      </w:r>
      <w:r>
        <w:rPr>
          <w:rFonts w:hint="eastAsia" w:ascii="宋体" w:hAnsi="宋体" w:eastAsia="宋体" w:cs="宋体"/>
          <w:sz w:val="24"/>
        </w:rPr>
        <w:t>日</w:t>
      </w:r>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E93699"/>
    <w:multiLevelType w:val="singleLevel"/>
    <w:tmpl w:val="8AE93699"/>
    <w:lvl w:ilvl="0" w:tentative="0">
      <w:start w:val="1"/>
      <w:numFmt w:val="decimal"/>
      <w:lvlText w:val="%1."/>
      <w:lvlJc w:val="left"/>
      <w:pPr>
        <w:tabs>
          <w:tab w:val="left" w:pos="312"/>
        </w:tabs>
      </w:pPr>
    </w:lvl>
  </w:abstractNum>
  <w:abstractNum w:abstractNumId="1">
    <w:nsid w:val="9B48E158"/>
    <w:multiLevelType w:val="singleLevel"/>
    <w:tmpl w:val="9B48E158"/>
    <w:lvl w:ilvl="0" w:tentative="0">
      <w:start w:val="2"/>
      <w:numFmt w:val="decimal"/>
      <w:lvlText w:val="%1."/>
      <w:lvlJc w:val="left"/>
      <w:pPr>
        <w:tabs>
          <w:tab w:val="left" w:pos="312"/>
        </w:tabs>
      </w:pPr>
    </w:lvl>
  </w:abstractNum>
  <w:abstractNum w:abstractNumId="2">
    <w:nsid w:val="AD61435E"/>
    <w:multiLevelType w:val="singleLevel"/>
    <w:tmpl w:val="AD61435E"/>
    <w:lvl w:ilvl="0" w:tentative="0">
      <w:start w:val="1"/>
      <w:numFmt w:val="decimal"/>
      <w:lvlText w:val="%1."/>
      <w:lvlJc w:val="left"/>
      <w:pPr>
        <w:tabs>
          <w:tab w:val="left" w:pos="312"/>
        </w:tabs>
      </w:pPr>
    </w:lvl>
  </w:abstractNum>
  <w:abstractNum w:abstractNumId="3">
    <w:nsid w:val="AF00AA5E"/>
    <w:multiLevelType w:val="singleLevel"/>
    <w:tmpl w:val="AF00AA5E"/>
    <w:lvl w:ilvl="0" w:tentative="0">
      <w:start w:val="2"/>
      <w:numFmt w:val="decimal"/>
      <w:lvlText w:val="%1."/>
      <w:lvlJc w:val="left"/>
      <w:pPr>
        <w:tabs>
          <w:tab w:val="left" w:pos="312"/>
        </w:tabs>
      </w:pPr>
    </w:lvl>
  </w:abstractNum>
  <w:abstractNum w:abstractNumId="4">
    <w:nsid w:val="B28629F5"/>
    <w:multiLevelType w:val="singleLevel"/>
    <w:tmpl w:val="B28629F5"/>
    <w:lvl w:ilvl="0" w:tentative="0">
      <w:start w:val="1"/>
      <w:numFmt w:val="decimal"/>
      <w:lvlText w:val="%1."/>
      <w:lvlJc w:val="left"/>
      <w:pPr>
        <w:tabs>
          <w:tab w:val="left" w:pos="312"/>
        </w:tabs>
      </w:pPr>
    </w:lvl>
  </w:abstractNum>
  <w:abstractNum w:abstractNumId="5">
    <w:nsid w:val="BBF55C72"/>
    <w:multiLevelType w:val="singleLevel"/>
    <w:tmpl w:val="BBF55C72"/>
    <w:lvl w:ilvl="0" w:tentative="0">
      <w:start w:val="1"/>
      <w:numFmt w:val="decimal"/>
      <w:lvlText w:val="%1."/>
      <w:lvlJc w:val="left"/>
      <w:pPr>
        <w:tabs>
          <w:tab w:val="left" w:pos="312"/>
        </w:tabs>
      </w:pPr>
    </w:lvl>
  </w:abstractNum>
  <w:abstractNum w:abstractNumId="6">
    <w:nsid w:val="C1CCE870"/>
    <w:multiLevelType w:val="singleLevel"/>
    <w:tmpl w:val="C1CCE870"/>
    <w:lvl w:ilvl="0" w:tentative="0">
      <w:start w:val="2"/>
      <w:numFmt w:val="decimal"/>
      <w:lvlText w:val="%1."/>
      <w:lvlJc w:val="left"/>
      <w:pPr>
        <w:tabs>
          <w:tab w:val="left" w:pos="312"/>
        </w:tabs>
      </w:pPr>
    </w:lvl>
  </w:abstractNum>
  <w:abstractNum w:abstractNumId="7">
    <w:nsid w:val="C3414F9B"/>
    <w:multiLevelType w:val="singleLevel"/>
    <w:tmpl w:val="C3414F9B"/>
    <w:lvl w:ilvl="0" w:tentative="0">
      <w:start w:val="1"/>
      <w:numFmt w:val="decimal"/>
      <w:lvlText w:val="%1."/>
      <w:lvlJc w:val="left"/>
      <w:pPr>
        <w:tabs>
          <w:tab w:val="left" w:pos="312"/>
        </w:tabs>
      </w:pPr>
    </w:lvl>
  </w:abstractNum>
  <w:abstractNum w:abstractNumId="8">
    <w:nsid w:val="CCC891DC"/>
    <w:multiLevelType w:val="singleLevel"/>
    <w:tmpl w:val="CCC891DC"/>
    <w:lvl w:ilvl="0" w:tentative="0">
      <w:start w:val="2"/>
      <w:numFmt w:val="decimal"/>
      <w:lvlText w:val="%1."/>
      <w:lvlJc w:val="left"/>
      <w:pPr>
        <w:tabs>
          <w:tab w:val="left" w:pos="312"/>
        </w:tabs>
      </w:pPr>
    </w:lvl>
  </w:abstractNum>
  <w:abstractNum w:abstractNumId="9">
    <w:nsid w:val="DEEBB428"/>
    <w:multiLevelType w:val="singleLevel"/>
    <w:tmpl w:val="DEEBB428"/>
    <w:lvl w:ilvl="0" w:tentative="0">
      <w:start w:val="1"/>
      <w:numFmt w:val="chineseCounting"/>
      <w:suff w:val="nothing"/>
      <w:lvlText w:val="（%1）"/>
      <w:lvlJc w:val="left"/>
      <w:rPr>
        <w:rFonts w:hint="eastAsia"/>
      </w:rPr>
    </w:lvl>
  </w:abstractNum>
  <w:abstractNum w:abstractNumId="10">
    <w:nsid w:val="E974DC01"/>
    <w:multiLevelType w:val="singleLevel"/>
    <w:tmpl w:val="E974DC01"/>
    <w:lvl w:ilvl="0" w:tentative="0">
      <w:start w:val="1"/>
      <w:numFmt w:val="decimal"/>
      <w:lvlText w:val="%1."/>
      <w:lvlJc w:val="left"/>
      <w:pPr>
        <w:tabs>
          <w:tab w:val="left" w:pos="312"/>
        </w:tabs>
      </w:pPr>
    </w:lvl>
  </w:abstractNum>
  <w:abstractNum w:abstractNumId="11">
    <w:nsid w:val="FB80CE7F"/>
    <w:multiLevelType w:val="singleLevel"/>
    <w:tmpl w:val="FB80CE7F"/>
    <w:lvl w:ilvl="0" w:tentative="0">
      <w:start w:val="1"/>
      <w:numFmt w:val="decimal"/>
      <w:lvlText w:val="%1."/>
      <w:lvlJc w:val="left"/>
      <w:pPr>
        <w:tabs>
          <w:tab w:val="left" w:pos="312"/>
        </w:tabs>
      </w:pPr>
    </w:lvl>
  </w:abstractNum>
  <w:abstractNum w:abstractNumId="12">
    <w:nsid w:val="12C5A1E4"/>
    <w:multiLevelType w:val="singleLevel"/>
    <w:tmpl w:val="12C5A1E4"/>
    <w:lvl w:ilvl="0" w:tentative="0">
      <w:start w:val="1"/>
      <w:numFmt w:val="decimal"/>
      <w:lvlText w:val="%1."/>
      <w:lvlJc w:val="left"/>
      <w:pPr>
        <w:tabs>
          <w:tab w:val="left" w:pos="312"/>
        </w:tabs>
      </w:pPr>
    </w:lvl>
  </w:abstractNum>
  <w:abstractNum w:abstractNumId="13">
    <w:nsid w:val="256DF895"/>
    <w:multiLevelType w:val="singleLevel"/>
    <w:tmpl w:val="256DF895"/>
    <w:lvl w:ilvl="0" w:tentative="0">
      <w:start w:val="1"/>
      <w:numFmt w:val="decimal"/>
      <w:lvlText w:val="%1."/>
      <w:lvlJc w:val="left"/>
      <w:pPr>
        <w:tabs>
          <w:tab w:val="left" w:pos="312"/>
        </w:tabs>
      </w:pPr>
    </w:lvl>
  </w:abstractNum>
  <w:abstractNum w:abstractNumId="14">
    <w:nsid w:val="26F03F2D"/>
    <w:multiLevelType w:val="singleLevel"/>
    <w:tmpl w:val="26F03F2D"/>
    <w:lvl w:ilvl="0" w:tentative="0">
      <w:start w:val="2"/>
      <w:numFmt w:val="decimal"/>
      <w:suff w:val="nothing"/>
      <w:lvlText w:val="%1）"/>
      <w:lvlJc w:val="left"/>
    </w:lvl>
  </w:abstractNum>
  <w:abstractNum w:abstractNumId="15">
    <w:nsid w:val="3547A1C9"/>
    <w:multiLevelType w:val="singleLevel"/>
    <w:tmpl w:val="3547A1C9"/>
    <w:lvl w:ilvl="0" w:tentative="0">
      <w:start w:val="1"/>
      <w:numFmt w:val="chineseCounting"/>
      <w:suff w:val="nothing"/>
      <w:lvlText w:val="%1、"/>
      <w:lvlJc w:val="left"/>
      <w:rPr>
        <w:rFonts w:hint="eastAsia"/>
      </w:rPr>
    </w:lvl>
  </w:abstractNum>
  <w:abstractNum w:abstractNumId="16">
    <w:nsid w:val="3928CBAF"/>
    <w:multiLevelType w:val="singleLevel"/>
    <w:tmpl w:val="3928CBAF"/>
    <w:lvl w:ilvl="0" w:tentative="0">
      <w:start w:val="2"/>
      <w:numFmt w:val="decimal"/>
      <w:suff w:val="nothing"/>
      <w:lvlText w:val="%1、"/>
      <w:lvlJc w:val="left"/>
    </w:lvl>
  </w:abstractNum>
  <w:abstractNum w:abstractNumId="17">
    <w:nsid w:val="3B83250E"/>
    <w:multiLevelType w:val="singleLevel"/>
    <w:tmpl w:val="3B83250E"/>
    <w:lvl w:ilvl="0" w:tentative="0">
      <w:start w:val="1"/>
      <w:numFmt w:val="decimal"/>
      <w:lvlText w:val="%1."/>
      <w:lvlJc w:val="left"/>
      <w:pPr>
        <w:tabs>
          <w:tab w:val="left" w:pos="312"/>
        </w:tabs>
      </w:pPr>
    </w:lvl>
  </w:abstractNum>
  <w:abstractNum w:abstractNumId="18">
    <w:nsid w:val="46DDFAB6"/>
    <w:multiLevelType w:val="singleLevel"/>
    <w:tmpl w:val="46DDFAB6"/>
    <w:lvl w:ilvl="0" w:tentative="0">
      <w:start w:val="1"/>
      <w:numFmt w:val="decimal"/>
      <w:lvlText w:val="%1."/>
      <w:lvlJc w:val="left"/>
      <w:pPr>
        <w:tabs>
          <w:tab w:val="left" w:pos="312"/>
        </w:tabs>
      </w:pPr>
    </w:lvl>
  </w:abstractNum>
  <w:abstractNum w:abstractNumId="19">
    <w:nsid w:val="63341BE7"/>
    <w:multiLevelType w:val="singleLevel"/>
    <w:tmpl w:val="63341BE7"/>
    <w:lvl w:ilvl="0" w:tentative="0">
      <w:start w:val="1"/>
      <w:numFmt w:val="decimal"/>
      <w:lvlText w:val="%1."/>
      <w:lvlJc w:val="left"/>
      <w:pPr>
        <w:tabs>
          <w:tab w:val="left" w:pos="312"/>
        </w:tabs>
      </w:pPr>
    </w:lvl>
  </w:abstractNum>
  <w:abstractNum w:abstractNumId="20">
    <w:nsid w:val="6A10F34D"/>
    <w:multiLevelType w:val="singleLevel"/>
    <w:tmpl w:val="6A10F34D"/>
    <w:lvl w:ilvl="0" w:tentative="0">
      <w:start w:val="1"/>
      <w:numFmt w:val="decimal"/>
      <w:lvlText w:val="%1."/>
      <w:lvlJc w:val="left"/>
      <w:pPr>
        <w:tabs>
          <w:tab w:val="left" w:pos="312"/>
        </w:tabs>
      </w:pPr>
    </w:lvl>
  </w:abstractNum>
  <w:abstractNum w:abstractNumId="21">
    <w:nsid w:val="6D76B2AC"/>
    <w:multiLevelType w:val="singleLevel"/>
    <w:tmpl w:val="6D76B2AC"/>
    <w:lvl w:ilvl="0" w:tentative="0">
      <w:start w:val="1"/>
      <w:numFmt w:val="decimal"/>
      <w:lvlText w:val="%1."/>
      <w:lvlJc w:val="left"/>
      <w:pPr>
        <w:tabs>
          <w:tab w:val="left" w:pos="312"/>
        </w:tabs>
      </w:pPr>
    </w:lvl>
  </w:abstractNum>
  <w:abstractNum w:abstractNumId="22">
    <w:nsid w:val="78291A13"/>
    <w:multiLevelType w:val="multilevel"/>
    <w:tmpl w:val="78291A13"/>
    <w:lvl w:ilvl="0" w:tentative="0">
      <w:start w:val="1"/>
      <w:numFmt w:val="japaneseCounting"/>
      <w:lvlText w:val="第%1章"/>
      <w:lvlJc w:val="left"/>
      <w:pPr>
        <w:ind w:left="1200" w:hanging="12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7A14012F"/>
    <w:multiLevelType w:val="singleLevel"/>
    <w:tmpl w:val="7A14012F"/>
    <w:lvl w:ilvl="0" w:tentative="0">
      <w:start w:val="1"/>
      <w:numFmt w:val="decimal"/>
      <w:lvlText w:val="%1."/>
      <w:lvlJc w:val="left"/>
      <w:pPr>
        <w:tabs>
          <w:tab w:val="left" w:pos="312"/>
        </w:tabs>
      </w:pPr>
    </w:lvl>
  </w:abstractNum>
  <w:abstractNum w:abstractNumId="24">
    <w:nsid w:val="7A924C21"/>
    <w:multiLevelType w:val="singleLevel"/>
    <w:tmpl w:val="7A924C21"/>
    <w:lvl w:ilvl="0" w:tentative="0">
      <w:start w:val="1"/>
      <w:numFmt w:val="decimal"/>
      <w:lvlText w:val="%1."/>
      <w:lvlJc w:val="left"/>
      <w:pPr>
        <w:tabs>
          <w:tab w:val="left" w:pos="312"/>
        </w:tabs>
      </w:pPr>
    </w:lvl>
  </w:abstractNum>
  <w:num w:numId="1">
    <w:abstractNumId w:val="22"/>
  </w:num>
  <w:num w:numId="2">
    <w:abstractNumId w:val="15"/>
  </w:num>
  <w:num w:numId="3">
    <w:abstractNumId w:val="9"/>
  </w:num>
  <w:num w:numId="4">
    <w:abstractNumId w:val="3"/>
  </w:num>
  <w:num w:numId="5">
    <w:abstractNumId w:val="8"/>
  </w:num>
  <w:num w:numId="6">
    <w:abstractNumId w:val="1"/>
  </w:num>
  <w:num w:numId="7">
    <w:abstractNumId w:val="4"/>
  </w:num>
  <w:num w:numId="8">
    <w:abstractNumId w:val="23"/>
  </w:num>
  <w:num w:numId="9">
    <w:abstractNumId w:val="18"/>
  </w:num>
  <w:num w:numId="10">
    <w:abstractNumId w:val="10"/>
  </w:num>
  <w:num w:numId="11">
    <w:abstractNumId w:val="6"/>
  </w:num>
  <w:num w:numId="12">
    <w:abstractNumId w:val="2"/>
  </w:num>
  <w:num w:numId="13">
    <w:abstractNumId w:val="13"/>
  </w:num>
  <w:num w:numId="14">
    <w:abstractNumId w:val="24"/>
  </w:num>
  <w:num w:numId="15">
    <w:abstractNumId w:val="17"/>
  </w:num>
  <w:num w:numId="16">
    <w:abstractNumId w:val="5"/>
  </w:num>
  <w:num w:numId="17">
    <w:abstractNumId w:val="11"/>
  </w:num>
  <w:num w:numId="18">
    <w:abstractNumId w:val="12"/>
  </w:num>
  <w:num w:numId="19">
    <w:abstractNumId w:val="21"/>
  </w:num>
  <w:num w:numId="20">
    <w:abstractNumId w:val="19"/>
  </w:num>
  <w:num w:numId="21">
    <w:abstractNumId w:val="7"/>
  </w:num>
  <w:num w:numId="22">
    <w:abstractNumId w:val="20"/>
  </w:num>
  <w:num w:numId="23">
    <w:abstractNumId w:val="0"/>
  </w:num>
  <w:num w:numId="24">
    <w:abstractNumId w:val="16"/>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yMDU3ZDZlNTdlOGFlMmNjODAxY2JkNzEyMDY5YWIifQ=="/>
  </w:docVars>
  <w:rsids>
    <w:rsidRoot w:val="00313BFA"/>
    <w:rsid w:val="00140E9C"/>
    <w:rsid w:val="00313BFA"/>
    <w:rsid w:val="0A246F12"/>
    <w:rsid w:val="0AB90EF6"/>
    <w:rsid w:val="101F18B8"/>
    <w:rsid w:val="13D00922"/>
    <w:rsid w:val="14CA10FB"/>
    <w:rsid w:val="1A13565D"/>
    <w:rsid w:val="23AD26B5"/>
    <w:rsid w:val="26514C6D"/>
    <w:rsid w:val="381C0D2E"/>
    <w:rsid w:val="38C13308"/>
    <w:rsid w:val="412344D1"/>
    <w:rsid w:val="47B30A93"/>
    <w:rsid w:val="6E3D48E5"/>
    <w:rsid w:val="719D2C2F"/>
    <w:rsid w:val="71B303F4"/>
    <w:rsid w:val="74851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9"/>
    <w:pPr>
      <w:keepNext/>
      <w:keepLines/>
      <w:spacing w:line="415" w:lineRule="auto"/>
      <w:jc w:val="left"/>
      <w:outlineLvl w:val="1"/>
    </w:pPr>
    <w:rPr>
      <w:rFonts w:ascii="Arial" w:hAnsi="Arial" w:eastAsia="宋体" w:cs="黑体"/>
      <w:b/>
      <w:bCs/>
      <w:kern w:val="0"/>
      <w:sz w:val="24"/>
      <w:szCs w:val="24"/>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0"/>
    <w:semiHidden/>
    <w:unhideWhenUsed/>
    <w:qFormat/>
    <w:uiPriority w:val="99"/>
    <w:pPr>
      <w:spacing w:after="120"/>
    </w:p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1"/>
    <w:qFormat/>
    <w:uiPriority w:val="0"/>
    <w:pPr>
      <w:ind w:firstLine="420" w:firstLineChars="1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正文文本 Char"/>
    <w:basedOn w:val="9"/>
    <w:link w:val="3"/>
    <w:semiHidden/>
    <w:qFormat/>
    <w:uiPriority w:val="99"/>
  </w:style>
  <w:style w:type="paragraph" w:styleId="11">
    <w:name w:val="List Paragraph"/>
    <w:basedOn w:val="1"/>
    <w:qFormat/>
    <w:uiPriority w:val="34"/>
    <w:pPr>
      <w:ind w:firstLine="420" w:firstLineChars="200"/>
    </w:pPr>
  </w:style>
  <w:style w:type="character" w:customStyle="1" w:styleId="12">
    <w:name w:val="标题 2 Char"/>
    <w:basedOn w:val="9"/>
    <w:link w:val="2"/>
    <w:qFormat/>
    <w:uiPriority w:val="99"/>
    <w:rPr>
      <w:rFonts w:ascii="Arial" w:hAnsi="Arial" w:eastAsia="宋体" w:cs="黑体"/>
      <w:b/>
      <w:bCs/>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4675</Words>
  <Characters>5545</Characters>
  <Lines>4</Lines>
  <Paragraphs>1</Paragraphs>
  <TotalTime>25</TotalTime>
  <ScaleCrop>false</ScaleCrop>
  <LinksUpToDate>false</LinksUpToDate>
  <CharactersWithSpaces>5673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2020-07-12T01:00:00Z</dcterms:created>
  <dc:creator>taihua</dc:creator>
  <cp:lastModifiedBy>z 小槑</cp:lastModifiedBy>
  <cp:lastPrinted>2020-07-16T09:25:00Z</cp:lastPrinted>
  <dcterms:modified xsi:type="dcterms:W3CDTF">2023-07-18T02:04:58Z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BDD0588335F34AF6888352F0EF220C5E_13</vt:lpwstr>
  </property>
</Properties>
</file>